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charts/chart1.xml" ContentType="application/vnd.openxmlformats-officedocument.drawingml.chart+xml"/>
  <Override PartName="/word/document.xml" ContentType="application/vnd.openxmlformats-officedocument.wordprocessingml.document.main+xml"/>
  <Override PartName="/word/embeddings/Microsoft_Excel_Worksheet1.xlsx" ContentType="application/vnd.openxmlformats-officedocument.spreadsheetml.shee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FB0844" w:rsidP="00FB0844" w14:paraId="7430F01A" w14:textId="77777777">
      <w:pPr>
        <w:spacing w:before="100"/>
        <w:jc w:val="center"/>
        <w:rPr>
          <w:sz w:val="2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pt;height:56.8pt">
            <v:imagedata r:id="rId5" r:href="rId6" o:title=""/>
          </v:shape>
        </w:pict>
      </w:r>
    </w:p>
    <w:p w:rsidR="00FB0844" w:rsidRPr="00F11F2F" w:rsidP="00FB0844" w14:paraId="14781DBE" w14:textId="77777777">
      <w:pPr>
        <w:jc w:val="center"/>
        <w:rPr>
          <w:sz w:val="6"/>
          <w:szCs w:val="6"/>
        </w:rPr>
      </w:pPr>
    </w:p>
    <w:p w:rsidR="00FB0844" w:rsidP="00FB0844" w14:paraId="5F19C515" w14:textId="77777777">
      <w:pPr>
        <w:pStyle w:val="Caption"/>
        <w:rPr>
          <w:sz w:val="36"/>
          <w:szCs w:val="36"/>
        </w:rPr>
      </w:pPr>
      <w:r>
        <w:rPr>
          <w:sz w:val="36"/>
          <w:szCs w:val="36"/>
        </w:rPr>
        <w:t>RĪGAS VALSTSPILSĒTAS PAŠVALDĪBAS</w:t>
      </w:r>
    </w:p>
    <w:p w:rsidR="00FB0844" w:rsidP="00FB0844" w14:paraId="7AAAA645" w14:textId="77777777">
      <w:pPr>
        <w:pStyle w:val="Caption"/>
        <w:rPr>
          <w:sz w:val="36"/>
          <w:szCs w:val="36"/>
        </w:rPr>
      </w:pPr>
      <w:r>
        <w:rPr>
          <w:sz w:val="36"/>
          <w:szCs w:val="36"/>
        </w:rPr>
        <w:t xml:space="preserve"> FINANŠU DEPARTAMENTS</w:t>
      </w:r>
    </w:p>
    <w:p w:rsidR="00FB0844" w:rsidRPr="00F11F2F" w:rsidP="00FB0844" w14:paraId="7FB997A1" w14:textId="77777777">
      <w:pPr>
        <w:jc w:val="center"/>
        <w:rPr>
          <w:sz w:val="10"/>
          <w:szCs w:val="10"/>
        </w:rPr>
      </w:pPr>
    </w:p>
    <w:p w:rsidR="00FB0844" w:rsidRPr="00634108" w:rsidP="00FB0844" w14:paraId="0DFAF15B" w14:textId="77777777">
      <w:pPr>
        <w:tabs>
          <w:tab w:val="left" w:pos="3960"/>
        </w:tabs>
        <w:jc w:val="center"/>
        <w:rPr>
          <w:sz w:val="22"/>
        </w:rPr>
      </w:pPr>
      <w:r>
        <w:rPr>
          <w:sz w:val="22"/>
        </w:rPr>
        <w:t>Kungu iela 7/9, Rīga, LV-1050, tālrunis 67026134, 67026133, e-pasts: fd@riga.lv</w:t>
      </w:r>
    </w:p>
    <w:p w:rsidR="00AB4B8C" w:rsidRPr="000A2E67" w:rsidP="00AB4B8C" w14:paraId="3B8A82F7" w14:textId="47EF36E4">
      <w:pPr>
        <w:spacing w:line="240" w:lineRule="auto"/>
        <w:jc w:val="center"/>
        <w:rPr>
          <w:rFonts w:eastAsia="Times New Roman" w:cs="Times New Roman"/>
          <w:szCs w:val="24"/>
        </w:rPr>
      </w:pPr>
    </w:p>
    <w:p w:rsidR="00D13256" w:rsidP="00D13256" w14:paraId="205B8732" w14:textId="77777777">
      <w:pPr>
        <w:pStyle w:val="BodyText"/>
        <w:spacing w:before="10"/>
        <w:jc w:val="center"/>
        <w:rPr>
          <w:b/>
          <w:bCs/>
          <w:color w:val="000000"/>
          <w:lang w:eastAsia="lv-LV"/>
        </w:rPr>
      </w:pPr>
    </w:p>
    <w:p w:rsidR="00D13256" w:rsidRPr="009F1F58" w:rsidP="00D13256" w14:paraId="5614E37F" w14:textId="276D1F6E">
      <w:pPr>
        <w:pStyle w:val="BodyText"/>
        <w:spacing w:before="10"/>
        <w:jc w:val="center"/>
      </w:pPr>
      <w:r w:rsidRPr="009F1F58">
        <w:rPr>
          <w:b/>
          <w:bCs/>
          <w:color w:val="000000"/>
          <w:lang w:eastAsia="lv-LV"/>
        </w:rPr>
        <w:t>FINANŠU INSTRUMENTU RISKU PĀRVALDĪŠANAS APRAKSTS</w:t>
      </w:r>
    </w:p>
    <w:p w:rsidR="00D13256" w:rsidP="00AB4B8C" w14:paraId="24DEAA87" w14:textId="77777777">
      <w:pPr>
        <w:spacing w:line="240" w:lineRule="auto"/>
        <w:jc w:val="center"/>
        <w:textAlignment w:val="baseline"/>
        <w:rPr>
          <w:rFonts w:eastAsia="Times New Roman" w:cs="Times New Roman"/>
          <w:color w:val="000000"/>
          <w:sz w:val="26"/>
          <w:szCs w:val="26"/>
          <w:lang w:eastAsia="lv-LV"/>
        </w:rPr>
      </w:pPr>
    </w:p>
    <w:p w:rsidR="00AB4B8C" w:rsidRPr="00172ECB" w:rsidP="00AB4B8C" w14:paraId="35C28B07" w14:textId="2587ACE8">
      <w:pPr>
        <w:spacing w:line="240" w:lineRule="auto"/>
        <w:jc w:val="center"/>
        <w:textAlignment w:val="baseline"/>
        <w:rPr>
          <w:rFonts w:ascii="Segoe UI" w:eastAsia="Times New Roman" w:hAnsi="Segoe UI" w:cs="Segoe UI"/>
          <w:sz w:val="18"/>
          <w:szCs w:val="18"/>
          <w:lang w:eastAsia="lv-LV"/>
        </w:rPr>
      </w:pPr>
      <w:r w:rsidRPr="00172ECB">
        <w:rPr>
          <w:rFonts w:eastAsia="Times New Roman" w:cs="Times New Roman"/>
          <w:color w:val="000000"/>
          <w:sz w:val="26"/>
          <w:szCs w:val="26"/>
          <w:lang w:eastAsia="lv-LV"/>
        </w:rPr>
        <w:t>Rīgā</w:t>
      </w:r>
      <w:r w:rsidRPr="00172ECB">
        <w:rPr>
          <w:rFonts w:eastAsia="Times New Roman" w:cs="Times New Roman"/>
          <w:sz w:val="26"/>
          <w:szCs w:val="26"/>
          <w:lang w:eastAsia="lv-LV"/>
        </w:rPr>
        <w:t> </w:t>
      </w:r>
    </w:p>
    <w:p w:rsidR="00AB4B8C" w:rsidP="00AB4B8C" w14:paraId="035C68AF" w14:textId="77777777">
      <w:pPr>
        <w:pStyle w:val="BodyText"/>
        <w:rPr>
          <w:sz w:val="20"/>
        </w:rPr>
      </w:pPr>
    </w:p>
    <w:p w:rsidR="00AB4B8C" w:rsidP="00AB4B8C" w14:paraId="0B28AC96" w14:textId="77777777">
      <w:pPr>
        <w:pStyle w:val="BodyText"/>
        <w:spacing w:before="6"/>
        <w:rPr>
          <w:sz w:val="11"/>
        </w:rPr>
      </w:pPr>
    </w:p>
    <w:tbl>
      <w:tblPr>
        <w:tblStyle w:val="TableNormal1"/>
        <w:tblW w:w="0" w:type="auto"/>
        <w:tblInd w:w="111" w:type="dxa"/>
        <w:tblLayout w:type="fixed"/>
        <w:tblLook w:val="01E0"/>
      </w:tblPr>
      <w:tblGrid>
        <w:gridCol w:w="5112"/>
        <w:gridCol w:w="4700"/>
      </w:tblGrid>
      <w:tr w14:paraId="7DB3959C" w14:textId="77777777" w:rsidTr="00DD4D5B">
        <w:tblPrEx>
          <w:tblW w:w="0" w:type="auto"/>
          <w:tblInd w:w="111" w:type="dxa"/>
          <w:tblLayout w:type="fixed"/>
          <w:tblLook w:val="01E0"/>
        </w:tblPrEx>
        <w:trPr>
          <w:trHeight w:val="681"/>
        </w:trPr>
        <w:tc>
          <w:tcPr>
            <w:tcW w:w="5112" w:type="dxa"/>
          </w:tcPr>
          <w:p w:rsidR="00AB4B8C" w:rsidRPr="00C27D01" w:rsidP="00845BC7" w14:paraId="4F138F6F" w14:textId="5CFA4FC1">
            <w:pPr>
              <w:pStyle w:val="TableParagraph"/>
              <w:ind w:right="2495"/>
              <w:jc w:val="left"/>
              <w:rPr>
                <w:i/>
                <w:sz w:val="20"/>
                <w:lang w:val="lv-LV"/>
              </w:rPr>
            </w:pPr>
            <w:r w:rsidRPr="00555BFF">
              <w:rPr>
                <w:i/>
                <w:sz w:val="24"/>
                <w:szCs w:val="24"/>
              </w:rPr>
              <w:t xml:space="preserve">Datums </w:t>
            </w:r>
            <w:r w:rsidRPr="00555BFF">
              <w:rPr>
                <w:i/>
                <w:sz w:val="24"/>
                <w:szCs w:val="24"/>
              </w:rPr>
              <w:t>skatāms</w:t>
            </w:r>
            <w:r w:rsidRPr="00555BFF">
              <w:rPr>
                <w:i/>
                <w:sz w:val="24"/>
                <w:szCs w:val="24"/>
              </w:rPr>
              <w:t xml:space="preserve"> laika </w:t>
            </w:r>
            <w:r w:rsidRPr="00555BFF">
              <w:rPr>
                <w:i/>
                <w:sz w:val="24"/>
                <w:szCs w:val="24"/>
              </w:rPr>
              <w:t>zīmogā</w:t>
            </w:r>
          </w:p>
          <w:p w:rsidR="00AB4B8C" w:rsidP="00DD4D5B" w14:paraId="3C7285F1" w14:textId="6AC496D2">
            <w:pPr>
              <w:pStyle w:val="TableParagraph"/>
              <w:tabs>
                <w:tab w:val="left" w:pos="2532"/>
              </w:tabs>
              <w:spacing w:before="1" w:line="210" w:lineRule="exact"/>
              <w:ind w:right="2422"/>
              <w:rPr>
                <w:i/>
                <w:sz w:val="20"/>
              </w:rPr>
            </w:pPr>
            <w:r w:rsidRPr="00C27D01">
              <w:rPr>
                <w:i/>
                <w:w w:val="99"/>
                <w:sz w:val="20"/>
                <w:u w:val="single"/>
                <w:lang w:val="lv-LV"/>
              </w:rPr>
              <w:t xml:space="preserve"> </w:t>
            </w:r>
            <w:r w:rsidRPr="00C27D01">
              <w:rPr>
                <w:i/>
                <w:spacing w:val="22"/>
                <w:sz w:val="20"/>
                <w:u w:val="single"/>
                <w:lang w:val="lv-LV"/>
              </w:rPr>
              <w:t xml:space="preserve"> </w:t>
            </w:r>
            <w:r>
              <w:rPr>
                <w:i/>
                <w:sz w:val="20"/>
                <w:u w:val="single"/>
              </w:rPr>
              <w:tab/>
            </w:r>
          </w:p>
        </w:tc>
        <w:tc>
          <w:tcPr>
            <w:tcW w:w="4700" w:type="dxa"/>
          </w:tcPr>
          <w:p w:rsidR="00AB4B8C" w:rsidRPr="001C0CAD" w:rsidP="00DD4D5B" w14:paraId="1089489E" w14:textId="79FB1049">
            <w:pPr>
              <w:pStyle w:val="TableParagraph"/>
              <w:tabs>
                <w:tab w:val="left" w:pos="4384"/>
              </w:tabs>
              <w:spacing w:line="257" w:lineRule="exact"/>
              <w:jc w:val="left"/>
              <w:rPr>
                <w:sz w:val="24"/>
              </w:rPr>
            </w:pPr>
            <w:r>
              <w:rPr>
                <w:sz w:val="24"/>
              </w:rPr>
              <w:t xml:space="preserve">          </w:t>
            </w:r>
            <w:r w:rsidRPr="001C0CAD">
              <w:rPr>
                <w:sz w:val="24"/>
              </w:rPr>
              <w:t>Nr. 202</w:t>
            </w:r>
            <w:r w:rsidR="00EB139E">
              <w:rPr>
                <w:sz w:val="24"/>
              </w:rPr>
              <w:t>6</w:t>
            </w:r>
            <w:r w:rsidRPr="001C0CAD">
              <w:rPr>
                <w:sz w:val="24"/>
              </w:rPr>
              <w:t>-</w:t>
            </w:r>
            <w:r>
              <w:rPr>
                <w:sz w:val="24"/>
              </w:rPr>
              <w:t>4</w:t>
            </w:r>
            <w:r w:rsidRPr="001C0CAD">
              <w:rPr>
                <w:sz w:val="24"/>
              </w:rPr>
              <w:t>/F.1500-19/101</w:t>
            </w:r>
          </w:p>
        </w:tc>
      </w:tr>
    </w:tbl>
    <w:p w:rsidR="00BE0793" w:rsidP="00580350" w14:paraId="18475521" w14:textId="77777777">
      <w:pPr>
        <w:spacing w:line="240" w:lineRule="auto"/>
        <w:jc w:val="center"/>
        <w:rPr>
          <w:rFonts w:eastAsia="Times New Roman" w:cs="Times New Roman"/>
          <w:b/>
          <w:bCs/>
          <w:sz w:val="28"/>
          <w:szCs w:val="28"/>
          <w:lang w:eastAsia="lv-LV"/>
        </w:rPr>
      </w:pPr>
    </w:p>
    <w:p w:rsidR="00815448" w:rsidP="00580350" w14:paraId="17404180" w14:textId="77777777">
      <w:pPr>
        <w:spacing w:line="240" w:lineRule="auto"/>
        <w:jc w:val="center"/>
        <w:rPr>
          <w:rFonts w:eastAsia="Times New Roman" w:cs="Times New Roman"/>
          <w:b/>
          <w:bCs/>
          <w:sz w:val="28"/>
          <w:szCs w:val="28"/>
          <w:lang w:eastAsia="lv-LV"/>
        </w:rPr>
      </w:pPr>
    </w:p>
    <w:p w:rsidR="00153016" w:rsidRPr="00906F6C" w:rsidP="00580350" w14:paraId="08F6BCB9" w14:textId="126FDF43">
      <w:pPr>
        <w:spacing w:line="240" w:lineRule="auto"/>
        <w:jc w:val="center"/>
        <w:rPr>
          <w:rFonts w:eastAsia="Times New Roman" w:cs="Times New Roman"/>
          <w:sz w:val="28"/>
          <w:szCs w:val="28"/>
          <w:lang w:eastAsia="lv-LV"/>
        </w:rPr>
      </w:pPr>
      <w:r w:rsidRPr="00906F6C">
        <w:rPr>
          <w:rFonts w:eastAsia="Times New Roman" w:cs="Times New Roman"/>
          <w:sz w:val="28"/>
          <w:szCs w:val="28"/>
          <w:lang w:eastAsia="lv-LV"/>
        </w:rPr>
        <w:t xml:space="preserve">Rīgas </w:t>
      </w:r>
      <w:r w:rsidRPr="00906F6C">
        <w:rPr>
          <w:rFonts w:eastAsia="Times New Roman" w:cs="Times New Roman"/>
          <w:sz w:val="28"/>
          <w:szCs w:val="28"/>
          <w:lang w:eastAsia="lv-LV"/>
        </w:rPr>
        <w:t>valstspilsētas</w:t>
      </w:r>
      <w:r w:rsidRPr="00906F6C">
        <w:rPr>
          <w:rFonts w:eastAsia="Times New Roman" w:cs="Times New Roman"/>
          <w:sz w:val="28"/>
          <w:szCs w:val="28"/>
          <w:lang w:eastAsia="lv-LV"/>
        </w:rPr>
        <w:t xml:space="preserve"> pašvaldības finanšu instrumentu risku pārvaldī</w:t>
      </w:r>
      <w:r w:rsidRPr="00906F6C" w:rsidR="00EA20E0">
        <w:rPr>
          <w:rFonts w:eastAsia="Times New Roman" w:cs="Times New Roman"/>
          <w:sz w:val="28"/>
          <w:szCs w:val="28"/>
          <w:lang w:eastAsia="lv-LV"/>
        </w:rPr>
        <w:t>ba</w:t>
      </w:r>
      <w:r w:rsidRPr="00906F6C" w:rsidR="00D14132">
        <w:rPr>
          <w:rFonts w:eastAsia="Times New Roman" w:cs="Times New Roman"/>
          <w:sz w:val="28"/>
          <w:szCs w:val="28"/>
          <w:lang w:eastAsia="lv-LV"/>
        </w:rPr>
        <w:t xml:space="preserve"> 202</w:t>
      </w:r>
      <w:r w:rsidRPr="00906F6C" w:rsidR="00EB139E">
        <w:rPr>
          <w:rFonts w:eastAsia="Times New Roman" w:cs="Times New Roman"/>
          <w:sz w:val="28"/>
          <w:szCs w:val="28"/>
          <w:lang w:eastAsia="lv-LV"/>
        </w:rPr>
        <w:t>5</w:t>
      </w:r>
      <w:r w:rsidRPr="00906F6C" w:rsidR="00D14132">
        <w:rPr>
          <w:rFonts w:eastAsia="Times New Roman" w:cs="Times New Roman"/>
          <w:sz w:val="28"/>
          <w:szCs w:val="28"/>
          <w:lang w:eastAsia="lv-LV"/>
        </w:rPr>
        <w:t xml:space="preserve">.gadā </w:t>
      </w:r>
    </w:p>
    <w:p w:rsidR="00BE0793" w:rsidRPr="00580350" w:rsidP="00580350" w14:paraId="164BF807" w14:textId="77777777">
      <w:pPr>
        <w:spacing w:line="240" w:lineRule="auto"/>
        <w:jc w:val="center"/>
        <w:rPr>
          <w:rFonts w:eastAsia="Times New Roman" w:cs="Times New Roman"/>
          <w:b/>
          <w:bCs/>
          <w:sz w:val="32"/>
          <w:szCs w:val="32"/>
          <w:lang w:eastAsia="lv-LV"/>
        </w:rPr>
      </w:pPr>
    </w:p>
    <w:p w:rsidR="001C7DEA" w:rsidRPr="00580350" w:rsidP="001C7DEA" w14:paraId="47F1AD84" w14:textId="77777777">
      <w:pPr>
        <w:spacing w:line="240" w:lineRule="auto"/>
        <w:ind w:firstLine="540"/>
        <w:jc w:val="both"/>
        <w:rPr>
          <w:rFonts w:eastAsia="Times New Roman" w:cs="Times New Roman"/>
          <w:sz w:val="26"/>
          <w:szCs w:val="26"/>
          <w:lang w:eastAsia="lv-LV"/>
        </w:rPr>
      </w:pPr>
      <w:r w:rsidRPr="00580350">
        <w:rPr>
          <w:rFonts w:eastAsia="Times New Roman" w:cs="Times New Roman"/>
          <w:sz w:val="26"/>
          <w:szCs w:val="26"/>
          <w:lang w:eastAsia="lv-LV"/>
        </w:rPr>
        <w:t xml:space="preserve">Rīgas </w:t>
      </w:r>
      <w:r w:rsidRPr="00580350">
        <w:rPr>
          <w:rFonts w:eastAsia="Times New Roman" w:cs="Times New Roman"/>
          <w:sz w:val="26"/>
          <w:szCs w:val="26"/>
          <w:lang w:eastAsia="lv-LV"/>
        </w:rPr>
        <w:t>valstspilsētas</w:t>
      </w:r>
      <w:r w:rsidRPr="00580350">
        <w:rPr>
          <w:rFonts w:eastAsia="Times New Roman" w:cs="Times New Roman"/>
          <w:sz w:val="26"/>
          <w:szCs w:val="26"/>
          <w:lang w:eastAsia="lv-LV"/>
        </w:rPr>
        <w:t xml:space="preserve"> pašvaldības finanšu instrumentu risku pārvaldība ir neatņemama pašvaldības finanšu darbības sastāvdaļa. Rīgas </w:t>
      </w:r>
      <w:r w:rsidRPr="00580350">
        <w:rPr>
          <w:rFonts w:eastAsia="Times New Roman" w:cs="Times New Roman"/>
          <w:sz w:val="26"/>
          <w:szCs w:val="26"/>
          <w:lang w:eastAsia="lv-LV"/>
        </w:rPr>
        <w:t>valstspilsētas</w:t>
      </w:r>
      <w:r w:rsidRPr="00580350">
        <w:rPr>
          <w:rFonts w:eastAsia="Times New Roman" w:cs="Times New Roman"/>
          <w:sz w:val="26"/>
          <w:szCs w:val="26"/>
          <w:lang w:eastAsia="lv-LV"/>
        </w:rPr>
        <w:t xml:space="preserve"> pašvaldības parādsaistību vadība, kas ietver arī finanšu instrumentu risku pārvaldību, tiek veikta ievērojot normatīvo aktu regulējumu, kā arī  Rīgas </w:t>
      </w:r>
      <w:r w:rsidRPr="00580350">
        <w:rPr>
          <w:rFonts w:eastAsia="Times New Roman" w:cs="Times New Roman"/>
          <w:sz w:val="26"/>
          <w:szCs w:val="26"/>
          <w:lang w:eastAsia="lv-LV"/>
        </w:rPr>
        <w:t>valstspilsētas</w:t>
      </w:r>
      <w:r w:rsidRPr="00580350">
        <w:rPr>
          <w:rFonts w:eastAsia="Times New Roman" w:cs="Times New Roman"/>
          <w:sz w:val="26"/>
          <w:szCs w:val="26"/>
          <w:lang w:eastAsia="lv-LV"/>
        </w:rPr>
        <w:t xml:space="preserve"> pašvaldības aizņēmumu, galvojumu un citu ilgtermiņa saistību vadības stratēģijas  2023.–2027. gadam (turpmāk – Stratēģija) noteiktos pašvaldības ilgtermiņa saistību vadības mērķus un uzdevumus.</w:t>
      </w:r>
    </w:p>
    <w:p w:rsidR="001C7DEA" w:rsidRPr="00580350" w:rsidP="001C7DEA" w14:paraId="1D9A8609" w14:textId="77777777">
      <w:pPr>
        <w:spacing w:line="240" w:lineRule="auto"/>
        <w:ind w:firstLine="540"/>
        <w:jc w:val="both"/>
        <w:rPr>
          <w:rFonts w:eastAsia="Times New Roman" w:cs="Times New Roman"/>
          <w:sz w:val="26"/>
          <w:szCs w:val="26"/>
          <w:lang w:eastAsia="lv-LV"/>
        </w:rPr>
      </w:pPr>
      <w:r w:rsidRPr="00580350">
        <w:rPr>
          <w:rFonts w:eastAsia="Times New Roman" w:cs="Times New Roman"/>
          <w:sz w:val="26"/>
          <w:szCs w:val="26"/>
          <w:lang w:eastAsia="lv-LV"/>
        </w:rPr>
        <w:t xml:space="preserve">Stratēģija ir apstiprināta ar Rīgas domes 25.01.2023. lēmumu Nr.RD-23-2248-lē “Par Rīgas </w:t>
      </w:r>
      <w:r w:rsidRPr="00580350">
        <w:rPr>
          <w:rFonts w:eastAsia="Times New Roman" w:cs="Times New Roman"/>
          <w:sz w:val="26"/>
          <w:szCs w:val="26"/>
          <w:lang w:eastAsia="lv-LV"/>
        </w:rPr>
        <w:t>valstspilsētas</w:t>
      </w:r>
      <w:r w:rsidRPr="00580350">
        <w:rPr>
          <w:rFonts w:eastAsia="Times New Roman" w:cs="Times New Roman"/>
          <w:sz w:val="26"/>
          <w:szCs w:val="26"/>
          <w:lang w:eastAsia="lv-LV"/>
        </w:rPr>
        <w:t xml:space="preserve"> pašvaldības aizņēmumu, galvojumu un citu ilgtermiņa saistību vadības stratēģijas 2023.–2027. gadam apstiprināšanu”.</w:t>
      </w:r>
    </w:p>
    <w:p w:rsidR="001C7DEA" w:rsidRPr="00580350" w:rsidP="001C7DEA" w14:paraId="4C14BC05" w14:textId="77777777">
      <w:pPr>
        <w:spacing w:line="240" w:lineRule="auto"/>
        <w:ind w:firstLine="540"/>
        <w:jc w:val="both"/>
        <w:rPr>
          <w:rFonts w:eastAsia="Times New Roman" w:cs="Times New Roman"/>
          <w:sz w:val="26"/>
          <w:szCs w:val="26"/>
          <w:lang w:eastAsia="lv-LV"/>
        </w:rPr>
      </w:pPr>
      <w:r w:rsidRPr="00580350">
        <w:rPr>
          <w:rFonts w:eastAsia="Times New Roman" w:cs="Times New Roman"/>
          <w:sz w:val="26"/>
          <w:szCs w:val="26"/>
          <w:lang w:eastAsia="lv-LV"/>
        </w:rPr>
        <w:t xml:space="preserve">Saskaņā ar Rīgas </w:t>
      </w:r>
      <w:r w:rsidRPr="00580350">
        <w:rPr>
          <w:rFonts w:eastAsia="Times New Roman" w:cs="Times New Roman"/>
          <w:sz w:val="26"/>
          <w:szCs w:val="26"/>
          <w:lang w:eastAsia="lv-LV"/>
        </w:rPr>
        <w:t>valstspilsētas</w:t>
      </w:r>
      <w:r w:rsidRPr="00580350">
        <w:rPr>
          <w:rFonts w:eastAsia="Times New Roman" w:cs="Times New Roman"/>
          <w:sz w:val="26"/>
          <w:szCs w:val="26"/>
          <w:lang w:eastAsia="lv-LV"/>
        </w:rPr>
        <w:t xml:space="preserve"> pašvaldības ilgtermiņa saistību vadības stratēģiju, pašvaldības parāda portfeļa vadība ir piesardzīga, orientēta uz finanšu risku ierobežošanu un novēršanu, pieļaujot stratēģijā noteikto atvasināto finanšu instrumentu izmantošanu vienīgi finanšu risku nodrošināšanai. </w:t>
      </w:r>
    </w:p>
    <w:p w:rsidR="001C7DEA" w:rsidRPr="00580350" w:rsidP="001C7DEA" w14:paraId="527DE0DC" w14:textId="77777777">
      <w:pPr>
        <w:spacing w:line="240" w:lineRule="auto"/>
        <w:ind w:firstLine="540"/>
        <w:jc w:val="both"/>
        <w:rPr>
          <w:rFonts w:eastAsia="Times New Roman" w:cs="Times New Roman"/>
          <w:sz w:val="26"/>
          <w:szCs w:val="26"/>
          <w:lang w:eastAsia="lv-LV"/>
        </w:rPr>
      </w:pPr>
      <w:r w:rsidRPr="00580350">
        <w:rPr>
          <w:rFonts w:eastAsia="Times New Roman" w:cs="Times New Roman"/>
          <w:sz w:val="26"/>
          <w:szCs w:val="26"/>
          <w:lang w:eastAsia="lv-LV"/>
        </w:rPr>
        <w:t>Pašvaldības īstenotā finanšu resursu vadība 202</w:t>
      </w:r>
      <w:r>
        <w:rPr>
          <w:rFonts w:eastAsia="Times New Roman" w:cs="Times New Roman"/>
          <w:sz w:val="26"/>
          <w:szCs w:val="26"/>
          <w:lang w:eastAsia="lv-LV"/>
        </w:rPr>
        <w:t>5</w:t>
      </w:r>
      <w:r w:rsidRPr="00580350">
        <w:rPr>
          <w:rFonts w:eastAsia="Times New Roman" w:cs="Times New Roman"/>
          <w:sz w:val="26"/>
          <w:szCs w:val="26"/>
          <w:lang w:eastAsia="lv-LV"/>
        </w:rPr>
        <w:t xml:space="preserve">.gadā nodrošināja budžeta un piesaistīto finanšu resursu taupīgu un racionālu izmantošanu. Stratēģijas ietvaros tika turpināta iepriekšējos gados īstenotā </w:t>
      </w:r>
      <w:r>
        <w:rPr>
          <w:rFonts w:eastAsia="Times New Roman" w:cs="Times New Roman"/>
          <w:sz w:val="26"/>
          <w:szCs w:val="26"/>
          <w:lang w:eastAsia="lv-LV"/>
        </w:rPr>
        <w:t xml:space="preserve">aizņēmumu </w:t>
      </w:r>
      <w:r w:rsidRPr="00580350">
        <w:rPr>
          <w:rFonts w:eastAsia="Times New Roman" w:cs="Times New Roman"/>
          <w:sz w:val="26"/>
          <w:szCs w:val="26"/>
          <w:lang w:eastAsia="lv-LV"/>
        </w:rPr>
        <w:t>procentu likmju riska ierobežošanas politika, nodrošinot aizņēmumu apkalpošanas maksājumu stabilitāti.</w:t>
      </w:r>
    </w:p>
    <w:p w:rsidR="001C7DEA" w:rsidRPr="00580350" w:rsidP="001C7DEA" w14:paraId="422837FB" w14:textId="77777777">
      <w:pPr>
        <w:spacing w:line="240" w:lineRule="auto"/>
        <w:ind w:firstLine="360"/>
        <w:jc w:val="both"/>
        <w:rPr>
          <w:rFonts w:eastAsia="Times New Roman" w:cs="Times New Roman"/>
          <w:sz w:val="26"/>
          <w:szCs w:val="26"/>
          <w:lang w:eastAsia="lv-LV"/>
        </w:rPr>
      </w:pPr>
      <w:r w:rsidRPr="00580350">
        <w:rPr>
          <w:rFonts w:eastAsia="Times New Roman" w:cs="Times New Roman"/>
          <w:sz w:val="26"/>
          <w:szCs w:val="26"/>
          <w:lang w:eastAsia="lv-LV"/>
        </w:rPr>
        <w:t xml:space="preserve">Ilgtermiņa saistību portfeļa vadība dod iespēju Rīgas </w:t>
      </w:r>
      <w:r w:rsidRPr="00580350">
        <w:rPr>
          <w:rFonts w:eastAsia="Times New Roman" w:cs="Times New Roman"/>
          <w:sz w:val="26"/>
          <w:szCs w:val="26"/>
          <w:lang w:eastAsia="lv-LV"/>
        </w:rPr>
        <w:t>valstspilsētas</w:t>
      </w:r>
      <w:r w:rsidRPr="00580350">
        <w:rPr>
          <w:rFonts w:eastAsia="Times New Roman" w:cs="Times New Roman"/>
          <w:sz w:val="26"/>
          <w:szCs w:val="26"/>
          <w:lang w:eastAsia="lv-LV"/>
        </w:rPr>
        <w:t xml:space="preserve">  pašvaldībai koriģēt parāda portfeļa struktūru gan ņemot jaunus  vai pārjaunojot esošos aizņēmumus, gan izmantojot budžeta vadības iespējas, kā arī nepieciešamības gadījumā izmantojot stratēģijā atļautos atvasinātos finanšu </w:t>
      </w:r>
      <w:r w:rsidRPr="00580350">
        <w:rPr>
          <w:rFonts w:eastAsia="Times New Roman" w:cs="Times New Roman"/>
          <w:sz w:val="26"/>
          <w:szCs w:val="26"/>
          <w:lang w:eastAsia="lv-LV"/>
        </w:rPr>
        <w:t xml:space="preserve">instrumentus. Tādā veidā tiek panākta  pašvaldības ilgtermiņa saistību portfeļa optimālā struktūra, kas nerada neprognozējamu slogu budžetam, un atbilst Rīgas </w:t>
      </w:r>
      <w:r w:rsidRPr="00580350">
        <w:rPr>
          <w:rFonts w:eastAsia="Times New Roman" w:cs="Times New Roman"/>
          <w:sz w:val="26"/>
          <w:szCs w:val="26"/>
          <w:lang w:eastAsia="lv-LV"/>
        </w:rPr>
        <w:t>valstspilsētas</w:t>
      </w:r>
      <w:r w:rsidRPr="00580350">
        <w:rPr>
          <w:rFonts w:eastAsia="Times New Roman" w:cs="Times New Roman"/>
          <w:sz w:val="26"/>
          <w:szCs w:val="26"/>
          <w:lang w:eastAsia="lv-LV"/>
        </w:rPr>
        <w:t xml:space="preserve"> pašvaldības ilgtermiņa saistību vadības stratēģijā noteiktajiem parāda struktūras rādītājiem.</w:t>
      </w:r>
    </w:p>
    <w:p w:rsidR="001C7DEA" w:rsidRPr="00580350" w:rsidP="001C7DEA" w14:paraId="1BF86CC8" w14:textId="77777777">
      <w:pPr>
        <w:spacing w:line="240" w:lineRule="auto"/>
        <w:ind w:left="360"/>
        <w:jc w:val="both"/>
        <w:rPr>
          <w:rFonts w:eastAsia="Times New Roman" w:cs="Times New Roman"/>
          <w:b/>
          <w:szCs w:val="24"/>
          <w:lang w:eastAsia="lv-LV"/>
        </w:rPr>
      </w:pPr>
    </w:p>
    <w:p w:rsidR="001C7DEA" w:rsidRPr="00580350" w:rsidP="001C7DEA" w14:paraId="2471EAE8" w14:textId="77777777">
      <w:pPr>
        <w:spacing w:line="240" w:lineRule="auto"/>
        <w:ind w:left="360"/>
        <w:jc w:val="both"/>
        <w:outlineLvl w:val="0"/>
        <w:rPr>
          <w:rFonts w:eastAsia="Times New Roman" w:cs="Times New Roman"/>
          <w:szCs w:val="24"/>
          <w:lang w:eastAsia="lv-LV"/>
        </w:rPr>
      </w:pPr>
      <w:r w:rsidRPr="00580350">
        <w:rPr>
          <w:rFonts w:eastAsia="Times New Roman" w:cs="Times New Roman"/>
          <w:b/>
          <w:szCs w:val="24"/>
          <w:lang w:eastAsia="lv-LV"/>
        </w:rPr>
        <w:t xml:space="preserve">Rīgas </w:t>
      </w:r>
      <w:r w:rsidRPr="00580350">
        <w:rPr>
          <w:rFonts w:eastAsia="Times New Roman" w:cs="Times New Roman"/>
          <w:b/>
          <w:szCs w:val="24"/>
          <w:lang w:eastAsia="lv-LV"/>
        </w:rPr>
        <w:t>valstspilsētas</w:t>
      </w:r>
      <w:r w:rsidRPr="00580350">
        <w:rPr>
          <w:rFonts w:eastAsia="Times New Roman" w:cs="Times New Roman"/>
          <w:b/>
          <w:szCs w:val="24"/>
          <w:lang w:eastAsia="lv-LV"/>
        </w:rPr>
        <w:t xml:space="preserve"> pašvaldības ilgtermiņa saistību portfeļa struktūras rādītāji  </w:t>
      </w:r>
    </w:p>
    <w:p w:rsidR="001C7DEA" w:rsidRPr="00580350" w:rsidP="001C7DEA" w14:paraId="414D8D3D" w14:textId="77777777">
      <w:pPr>
        <w:spacing w:line="240" w:lineRule="auto"/>
        <w:jc w:val="both"/>
        <w:rPr>
          <w:rFonts w:eastAsia="Times New Roman" w:cs="Times New Roman"/>
          <w:sz w:val="26"/>
          <w:szCs w:val="26"/>
          <w:lang w:eastAsia="lv-LV"/>
        </w:rPr>
      </w:pPr>
    </w:p>
    <w:tbl>
      <w:tblPr>
        <w:tblpPr w:leftFromText="180" w:rightFromText="180" w:vertAnchor="text" w:horzAnchor="margin" w:tblpY="76"/>
        <w:tblOverlap w:val="neve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5"/>
        <w:gridCol w:w="1134"/>
        <w:gridCol w:w="1134"/>
        <w:gridCol w:w="1275"/>
        <w:gridCol w:w="1134"/>
        <w:gridCol w:w="1134"/>
        <w:gridCol w:w="1134"/>
      </w:tblGrid>
      <w:tr w14:paraId="3B101238" w14:textId="77777777" w:rsidTr="00D61CD1">
        <w:tblPrEx>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855"/>
        </w:trPr>
        <w:tc>
          <w:tcPr>
            <w:tcW w:w="1555" w:type="dxa"/>
            <w:shd w:val="clear" w:color="auto" w:fill="D9D9D9"/>
            <w:vAlign w:val="center"/>
            <w:hideMark/>
          </w:tcPr>
          <w:p w:rsidR="001C7DEA" w:rsidRPr="00580350" w:rsidP="00D61CD1" w14:paraId="57303786" w14:textId="77777777">
            <w:pPr>
              <w:spacing w:line="240" w:lineRule="auto"/>
              <w:jc w:val="both"/>
              <w:rPr>
                <w:rFonts w:eastAsia="Times New Roman" w:cs="Times New Roman"/>
                <w:b/>
                <w:bCs/>
                <w:sz w:val="16"/>
                <w:szCs w:val="16"/>
                <w:lang w:eastAsia="lv-LV"/>
              </w:rPr>
            </w:pPr>
            <w:r w:rsidRPr="00580350">
              <w:rPr>
                <w:rFonts w:eastAsia="Times New Roman" w:cs="Times New Roman"/>
                <w:b/>
                <w:bCs/>
                <w:sz w:val="16"/>
                <w:szCs w:val="16"/>
                <w:lang w:eastAsia="lv-LV"/>
              </w:rPr>
              <w:t>RĀDĪTĀJI</w:t>
            </w:r>
          </w:p>
        </w:tc>
        <w:tc>
          <w:tcPr>
            <w:tcW w:w="2268" w:type="dxa"/>
            <w:gridSpan w:val="2"/>
            <w:shd w:val="clear" w:color="auto" w:fill="D9D9D9"/>
            <w:vAlign w:val="center"/>
            <w:hideMark/>
          </w:tcPr>
          <w:p w:rsidR="001C7DEA" w:rsidRPr="00580350" w:rsidP="00D61CD1" w14:paraId="6FCEEBC4" w14:textId="77777777">
            <w:pPr>
              <w:spacing w:line="240" w:lineRule="auto"/>
              <w:jc w:val="both"/>
              <w:rPr>
                <w:rFonts w:eastAsia="Times New Roman" w:cs="Times New Roman"/>
                <w:b/>
                <w:bCs/>
                <w:sz w:val="16"/>
                <w:szCs w:val="16"/>
                <w:lang w:eastAsia="lv-LV"/>
              </w:rPr>
            </w:pPr>
            <w:r w:rsidRPr="00580350">
              <w:rPr>
                <w:rFonts w:eastAsia="Times New Roman" w:cs="Times New Roman"/>
                <w:b/>
                <w:bCs/>
                <w:sz w:val="16"/>
                <w:szCs w:val="16"/>
                <w:lang w:eastAsia="lv-LV"/>
              </w:rPr>
              <w:t>STRATĒĢIJĀ NOTEIKTIE STRUKTŪRAS RĀDĪTĀJI</w:t>
            </w:r>
          </w:p>
        </w:tc>
        <w:tc>
          <w:tcPr>
            <w:tcW w:w="2409" w:type="dxa"/>
            <w:gridSpan w:val="2"/>
            <w:shd w:val="clear" w:color="auto" w:fill="D9D9D9"/>
          </w:tcPr>
          <w:p w:rsidR="001C7DEA" w:rsidRPr="00580350" w:rsidP="00D61CD1" w14:paraId="7037A11B" w14:textId="77777777">
            <w:pPr>
              <w:spacing w:line="240" w:lineRule="auto"/>
              <w:jc w:val="both"/>
              <w:rPr>
                <w:rFonts w:eastAsia="Times New Roman" w:cs="Times New Roman"/>
                <w:b/>
                <w:bCs/>
                <w:sz w:val="16"/>
                <w:szCs w:val="16"/>
                <w:lang w:eastAsia="lv-LV"/>
              </w:rPr>
            </w:pPr>
          </w:p>
          <w:p w:rsidR="001C7DEA" w:rsidRPr="00580350" w:rsidP="00D61CD1" w14:paraId="212C8006" w14:textId="77777777">
            <w:pPr>
              <w:spacing w:line="240" w:lineRule="auto"/>
              <w:jc w:val="both"/>
              <w:rPr>
                <w:rFonts w:eastAsia="Times New Roman" w:cs="Times New Roman"/>
                <w:b/>
                <w:bCs/>
                <w:sz w:val="16"/>
                <w:szCs w:val="16"/>
                <w:lang w:eastAsia="lv-LV"/>
              </w:rPr>
            </w:pPr>
            <w:r w:rsidRPr="00580350">
              <w:rPr>
                <w:rFonts w:eastAsia="Times New Roman" w:cs="Times New Roman"/>
                <w:b/>
                <w:bCs/>
                <w:sz w:val="16"/>
                <w:szCs w:val="16"/>
                <w:lang w:eastAsia="lv-LV"/>
              </w:rPr>
              <w:t>FAKTISKIE PARĀDA PORTFEĻA STRUKTŪRAS RĀDĪTĀJI 31.12.202</w:t>
            </w:r>
            <w:r>
              <w:rPr>
                <w:rFonts w:eastAsia="Times New Roman" w:cs="Times New Roman"/>
                <w:b/>
                <w:bCs/>
                <w:sz w:val="16"/>
                <w:szCs w:val="16"/>
                <w:lang w:eastAsia="lv-LV"/>
              </w:rPr>
              <w:t>4</w:t>
            </w:r>
            <w:r w:rsidRPr="00580350">
              <w:rPr>
                <w:rFonts w:eastAsia="Times New Roman" w:cs="Times New Roman"/>
                <w:b/>
                <w:bCs/>
                <w:sz w:val="16"/>
                <w:szCs w:val="16"/>
                <w:lang w:eastAsia="lv-LV"/>
              </w:rPr>
              <w:t>.</w:t>
            </w:r>
          </w:p>
        </w:tc>
        <w:tc>
          <w:tcPr>
            <w:tcW w:w="2268" w:type="dxa"/>
            <w:gridSpan w:val="2"/>
            <w:shd w:val="clear" w:color="auto" w:fill="D9D9D9"/>
          </w:tcPr>
          <w:p w:rsidR="001C7DEA" w:rsidRPr="00580350" w:rsidP="00D61CD1" w14:paraId="4338195B" w14:textId="77777777">
            <w:pPr>
              <w:spacing w:line="240" w:lineRule="auto"/>
              <w:jc w:val="both"/>
              <w:rPr>
                <w:rFonts w:eastAsia="Times New Roman" w:cs="Times New Roman"/>
                <w:b/>
                <w:bCs/>
                <w:sz w:val="16"/>
                <w:szCs w:val="16"/>
                <w:lang w:eastAsia="lv-LV"/>
              </w:rPr>
            </w:pPr>
          </w:p>
          <w:p w:rsidR="001C7DEA" w:rsidRPr="00580350" w:rsidP="00D61CD1" w14:paraId="5A319438" w14:textId="77777777">
            <w:pPr>
              <w:spacing w:line="240" w:lineRule="auto"/>
              <w:jc w:val="both"/>
              <w:rPr>
                <w:rFonts w:eastAsia="Times New Roman" w:cs="Times New Roman"/>
                <w:b/>
                <w:bCs/>
                <w:sz w:val="16"/>
                <w:szCs w:val="16"/>
                <w:lang w:eastAsia="lv-LV"/>
              </w:rPr>
            </w:pPr>
            <w:r w:rsidRPr="00580350">
              <w:rPr>
                <w:rFonts w:eastAsia="Times New Roman" w:cs="Times New Roman"/>
                <w:b/>
                <w:bCs/>
                <w:sz w:val="16"/>
                <w:szCs w:val="16"/>
                <w:lang w:eastAsia="lv-LV"/>
              </w:rPr>
              <w:t>FAKTISKIE PARĀDA PORTFEĻA STRUKTŪRAS RĀDĪTĀJI 31.12.202</w:t>
            </w:r>
            <w:r>
              <w:rPr>
                <w:rFonts w:eastAsia="Times New Roman" w:cs="Times New Roman"/>
                <w:b/>
                <w:bCs/>
                <w:sz w:val="16"/>
                <w:szCs w:val="16"/>
                <w:lang w:eastAsia="lv-LV"/>
              </w:rPr>
              <w:t>5</w:t>
            </w:r>
            <w:r w:rsidRPr="00580350">
              <w:rPr>
                <w:rFonts w:eastAsia="Times New Roman" w:cs="Times New Roman"/>
                <w:b/>
                <w:bCs/>
                <w:sz w:val="16"/>
                <w:szCs w:val="16"/>
                <w:lang w:eastAsia="lv-LV"/>
              </w:rPr>
              <w:t>.</w:t>
            </w:r>
          </w:p>
        </w:tc>
      </w:tr>
      <w:tr w14:paraId="0728412E" w14:textId="77777777" w:rsidTr="00D61CD1">
        <w:tblPrEx>
          <w:tblW w:w="8500" w:type="dxa"/>
          <w:tblLayout w:type="fixed"/>
          <w:tblLook w:val="04A0"/>
        </w:tblPrEx>
        <w:trPr>
          <w:trHeight w:val="640"/>
        </w:trPr>
        <w:tc>
          <w:tcPr>
            <w:tcW w:w="1555" w:type="dxa"/>
            <w:noWrap/>
            <w:vAlign w:val="center"/>
            <w:hideMark/>
          </w:tcPr>
          <w:p w:rsidR="001C7DEA" w:rsidRPr="004F0720" w:rsidP="00D61CD1" w14:paraId="7297BB11"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 xml:space="preserve">Valūtu kopējais īpatsvars </w:t>
            </w:r>
          </w:p>
        </w:tc>
        <w:tc>
          <w:tcPr>
            <w:tcW w:w="2268" w:type="dxa"/>
            <w:gridSpan w:val="2"/>
            <w:vAlign w:val="center"/>
            <w:hideMark/>
          </w:tcPr>
          <w:p w:rsidR="001C7DEA" w:rsidRPr="004F0720" w:rsidP="00D61CD1" w14:paraId="41F07B61"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EUR ne mazāk kā 95 %</w:t>
            </w:r>
          </w:p>
        </w:tc>
        <w:tc>
          <w:tcPr>
            <w:tcW w:w="2409" w:type="dxa"/>
            <w:gridSpan w:val="2"/>
          </w:tcPr>
          <w:p w:rsidR="001C7DEA" w:rsidRPr="004F0720" w:rsidP="00D61CD1" w14:paraId="41BA09FC" w14:textId="77777777">
            <w:pPr>
              <w:spacing w:line="240" w:lineRule="auto"/>
              <w:jc w:val="both"/>
              <w:rPr>
                <w:rFonts w:eastAsia="Times New Roman" w:cs="Times New Roman"/>
                <w:sz w:val="16"/>
                <w:szCs w:val="16"/>
                <w:lang w:eastAsia="lv-LV"/>
              </w:rPr>
            </w:pPr>
          </w:p>
          <w:p w:rsidR="001C7DEA" w:rsidRPr="004F0720" w:rsidP="00D61CD1" w14:paraId="191DE8E8"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EUR – 100%</w:t>
            </w:r>
          </w:p>
        </w:tc>
        <w:tc>
          <w:tcPr>
            <w:tcW w:w="2268" w:type="dxa"/>
            <w:gridSpan w:val="2"/>
          </w:tcPr>
          <w:p w:rsidR="001C7DEA" w:rsidRPr="004F0720" w:rsidP="00D61CD1" w14:paraId="2B7CD663" w14:textId="77777777">
            <w:pPr>
              <w:spacing w:line="240" w:lineRule="auto"/>
              <w:jc w:val="both"/>
              <w:rPr>
                <w:rFonts w:eastAsia="Times New Roman" w:cs="Times New Roman"/>
                <w:sz w:val="16"/>
                <w:szCs w:val="16"/>
                <w:lang w:eastAsia="lv-LV"/>
              </w:rPr>
            </w:pPr>
          </w:p>
          <w:p w:rsidR="001C7DEA" w:rsidRPr="004F0720" w:rsidP="00D61CD1" w14:paraId="6F396017"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EUR – 100%</w:t>
            </w:r>
          </w:p>
        </w:tc>
      </w:tr>
      <w:tr w14:paraId="74F608AA" w14:textId="77777777" w:rsidTr="00D61CD1">
        <w:tblPrEx>
          <w:tblW w:w="8500" w:type="dxa"/>
          <w:tblLayout w:type="fixed"/>
          <w:tblLook w:val="04A0"/>
        </w:tblPrEx>
        <w:trPr>
          <w:trHeight w:val="431"/>
        </w:trPr>
        <w:tc>
          <w:tcPr>
            <w:tcW w:w="1555" w:type="dxa"/>
            <w:noWrap/>
            <w:vAlign w:val="center"/>
            <w:hideMark/>
          </w:tcPr>
          <w:p w:rsidR="001C7DEA" w:rsidRPr="004F0720" w:rsidP="00D61CD1" w14:paraId="2E5927B3"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Dzēšanas profils (%)</w:t>
            </w:r>
          </w:p>
        </w:tc>
        <w:tc>
          <w:tcPr>
            <w:tcW w:w="1134" w:type="dxa"/>
            <w:vAlign w:val="center"/>
          </w:tcPr>
          <w:p w:rsidR="001C7DEA" w:rsidRPr="004F0720" w:rsidP="00D61CD1" w14:paraId="2D54DB64" w14:textId="77777777">
            <w:pPr>
              <w:spacing w:line="240" w:lineRule="auto"/>
              <w:jc w:val="both"/>
              <w:rPr>
                <w:rFonts w:eastAsia="Times New Roman" w:cs="Times New Roman"/>
                <w:sz w:val="16"/>
                <w:szCs w:val="16"/>
                <w:lang w:eastAsia="lv-LV"/>
              </w:rPr>
            </w:pPr>
          </w:p>
          <w:p w:rsidR="001C7DEA" w:rsidRPr="004F0720" w:rsidP="00D61CD1" w14:paraId="2B714B3E"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līdz 1 gadam</w:t>
            </w:r>
          </w:p>
          <w:p w:rsidR="001C7DEA" w:rsidRPr="004F0720" w:rsidP="00D61CD1" w14:paraId="3460610A" w14:textId="77777777">
            <w:pPr>
              <w:spacing w:line="240" w:lineRule="auto"/>
              <w:jc w:val="both"/>
              <w:rPr>
                <w:rFonts w:eastAsia="Times New Roman" w:cs="Times New Roman"/>
                <w:sz w:val="16"/>
                <w:szCs w:val="16"/>
                <w:lang w:eastAsia="lv-LV"/>
              </w:rPr>
            </w:pPr>
          </w:p>
          <w:p w:rsidR="001C7DEA" w:rsidRPr="004F0720" w:rsidP="00D61CD1" w14:paraId="70779C77"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&lt;25 %</w:t>
            </w:r>
          </w:p>
        </w:tc>
        <w:tc>
          <w:tcPr>
            <w:tcW w:w="1134" w:type="dxa"/>
          </w:tcPr>
          <w:p w:rsidR="001C7DEA" w:rsidRPr="004F0720" w:rsidP="00D61CD1" w14:paraId="37BA6749" w14:textId="77777777">
            <w:pPr>
              <w:spacing w:line="240" w:lineRule="auto"/>
              <w:jc w:val="both"/>
              <w:rPr>
                <w:rFonts w:eastAsia="Times New Roman" w:cs="Times New Roman"/>
                <w:sz w:val="16"/>
                <w:szCs w:val="16"/>
                <w:lang w:eastAsia="lv-LV"/>
              </w:rPr>
            </w:pPr>
          </w:p>
          <w:p w:rsidR="001C7DEA" w:rsidRPr="004F0720" w:rsidP="00D61CD1" w14:paraId="05191E49"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līdz 3 gadiem</w:t>
            </w:r>
          </w:p>
          <w:p w:rsidR="001C7DEA" w:rsidRPr="004F0720" w:rsidP="00D61CD1" w14:paraId="2FAB83ED" w14:textId="77777777">
            <w:pPr>
              <w:spacing w:line="240" w:lineRule="auto"/>
              <w:jc w:val="both"/>
              <w:rPr>
                <w:rFonts w:eastAsia="Times New Roman" w:cs="Times New Roman"/>
                <w:sz w:val="16"/>
                <w:szCs w:val="16"/>
                <w:lang w:eastAsia="lv-LV"/>
              </w:rPr>
            </w:pPr>
          </w:p>
          <w:p w:rsidR="001C7DEA" w:rsidRPr="004F0720" w:rsidP="00D61CD1" w14:paraId="61F0F7C8"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 xml:space="preserve">  &lt;50 %</w:t>
            </w:r>
          </w:p>
        </w:tc>
        <w:tc>
          <w:tcPr>
            <w:tcW w:w="1275" w:type="dxa"/>
          </w:tcPr>
          <w:p w:rsidR="001C7DEA" w:rsidRPr="004F0720" w:rsidP="00D61CD1" w14:paraId="745EA7F1" w14:textId="77777777">
            <w:pPr>
              <w:spacing w:line="240" w:lineRule="auto"/>
              <w:jc w:val="both"/>
              <w:rPr>
                <w:rFonts w:eastAsia="Times New Roman" w:cs="Times New Roman"/>
                <w:sz w:val="16"/>
                <w:szCs w:val="16"/>
                <w:lang w:eastAsia="lv-LV"/>
              </w:rPr>
            </w:pPr>
          </w:p>
          <w:p w:rsidR="001C7DEA" w:rsidRPr="004F0720" w:rsidP="00D61CD1" w14:paraId="6E5DC527"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līdz 1 gadam</w:t>
            </w:r>
          </w:p>
          <w:p w:rsidR="001C7DEA" w:rsidRPr="004F0720" w:rsidP="00D61CD1" w14:paraId="1E616C12" w14:textId="77777777">
            <w:pPr>
              <w:spacing w:line="240" w:lineRule="auto"/>
              <w:jc w:val="both"/>
              <w:rPr>
                <w:rFonts w:eastAsia="Times New Roman" w:cs="Times New Roman"/>
                <w:sz w:val="16"/>
                <w:szCs w:val="16"/>
                <w:lang w:eastAsia="lv-LV"/>
              </w:rPr>
            </w:pPr>
          </w:p>
          <w:p w:rsidR="001C7DEA" w:rsidRPr="004F0720" w:rsidP="00D61CD1" w14:paraId="1A7BAE9B"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11.68%</w:t>
            </w:r>
          </w:p>
        </w:tc>
        <w:tc>
          <w:tcPr>
            <w:tcW w:w="1134" w:type="dxa"/>
          </w:tcPr>
          <w:p w:rsidR="001C7DEA" w:rsidRPr="004F0720" w:rsidP="00D61CD1" w14:paraId="15E62F67" w14:textId="77777777">
            <w:pPr>
              <w:spacing w:line="240" w:lineRule="auto"/>
              <w:jc w:val="both"/>
              <w:rPr>
                <w:rFonts w:eastAsia="Times New Roman" w:cs="Times New Roman"/>
                <w:sz w:val="16"/>
                <w:szCs w:val="16"/>
                <w:lang w:eastAsia="lv-LV"/>
              </w:rPr>
            </w:pPr>
          </w:p>
          <w:p w:rsidR="001C7DEA" w:rsidRPr="004F0720" w:rsidP="00D61CD1" w14:paraId="3AB533A6"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līdz 3 gadiem</w:t>
            </w:r>
          </w:p>
          <w:p w:rsidR="001C7DEA" w:rsidRPr="004F0720" w:rsidP="00D61CD1" w14:paraId="548B27BE" w14:textId="77777777">
            <w:pPr>
              <w:spacing w:line="240" w:lineRule="auto"/>
              <w:jc w:val="both"/>
              <w:rPr>
                <w:rFonts w:eastAsia="Times New Roman" w:cs="Times New Roman"/>
                <w:sz w:val="16"/>
                <w:szCs w:val="16"/>
                <w:lang w:eastAsia="lv-LV"/>
              </w:rPr>
            </w:pPr>
          </w:p>
          <w:p w:rsidR="001C7DEA" w:rsidRPr="004F0720" w:rsidP="00D61CD1" w14:paraId="798085F4"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33.23%</w:t>
            </w:r>
          </w:p>
        </w:tc>
        <w:tc>
          <w:tcPr>
            <w:tcW w:w="1134" w:type="dxa"/>
          </w:tcPr>
          <w:p w:rsidR="001C7DEA" w:rsidRPr="004F0720" w:rsidP="00D61CD1" w14:paraId="529FCAFD" w14:textId="77777777">
            <w:pPr>
              <w:spacing w:line="240" w:lineRule="auto"/>
              <w:jc w:val="both"/>
              <w:rPr>
                <w:rFonts w:eastAsia="Times New Roman" w:cs="Times New Roman"/>
                <w:sz w:val="16"/>
                <w:szCs w:val="16"/>
                <w:lang w:eastAsia="lv-LV"/>
              </w:rPr>
            </w:pPr>
          </w:p>
          <w:p w:rsidR="001C7DEA" w:rsidRPr="004F0720" w:rsidP="00D61CD1" w14:paraId="573B34BC"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līdz 1 gadam</w:t>
            </w:r>
          </w:p>
          <w:p w:rsidR="001C7DEA" w:rsidRPr="004F0720" w:rsidP="00D61CD1" w14:paraId="1562EE8F" w14:textId="77777777">
            <w:pPr>
              <w:spacing w:line="240" w:lineRule="auto"/>
              <w:jc w:val="both"/>
              <w:rPr>
                <w:rFonts w:eastAsia="Times New Roman" w:cs="Times New Roman"/>
                <w:sz w:val="16"/>
                <w:szCs w:val="16"/>
                <w:lang w:eastAsia="lv-LV"/>
              </w:rPr>
            </w:pPr>
          </w:p>
          <w:p w:rsidR="001C7DEA" w:rsidRPr="004F0720" w:rsidP="00D61CD1" w14:paraId="0F66AAC2"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10.08%</w:t>
            </w:r>
          </w:p>
        </w:tc>
        <w:tc>
          <w:tcPr>
            <w:tcW w:w="1134" w:type="dxa"/>
          </w:tcPr>
          <w:p w:rsidR="001C7DEA" w:rsidRPr="004F0720" w:rsidP="00D61CD1" w14:paraId="70B1A0E7" w14:textId="77777777">
            <w:pPr>
              <w:spacing w:line="240" w:lineRule="auto"/>
              <w:jc w:val="both"/>
              <w:rPr>
                <w:rFonts w:eastAsia="Times New Roman" w:cs="Times New Roman"/>
                <w:sz w:val="16"/>
                <w:szCs w:val="16"/>
                <w:lang w:eastAsia="lv-LV"/>
              </w:rPr>
            </w:pPr>
          </w:p>
          <w:p w:rsidR="001C7DEA" w:rsidRPr="004F0720" w:rsidP="00D61CD1" w14:paraId="6976A23F"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līdz 3 gadiem</w:t>
            </w:r>
          </w:p>
          <w:p w:rsidR="001C7DEA" w:rsidRPr="004F0720" w:rsidP="00D61CD1" w14:paraId="073B2D1F" w14:textId="77777777">
            <w:pPr>
              <w:spacing w:line="240" w:lineRule="auto"/>
              <w:jc w:val="both"/>
              <w:rPr>
                <w:rFonts w:eastAsia="Times New Roman" w:cs="Times New Roman"/>
                <w:sz w:val="16"/>
                <w:szCs w:val="16"/>
                <w:lang w:eastAsia="lv-LV"/>
              </w:rPr>
            </w:pPr>
          </w:p>
          <w:p w:rsidR="001C7DEA" w:rsidRPr="004F0720" w:rsidP="00D61CD1" w14:paraId="043EB6C3"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25.76%</w:t>
            </w:r>
          </w:p>
        </w:tc>
      </w:tr>
      <w:tr w14:paraId="0D7528BF" w14:textId="77777777" w:rsidTr="00D61CD1">
        <w:tblPrEx>
          <w:tblW w:w="8500" w:type="dxa"/>
          <w:tblLayout w:type="fixed"/>
          <w:tblLook w:val="04A0"/>
        </w:tblPrEx>
        <w:trPr>
          <w:trHeight w:val="526"/>
        </w:trPr>
        <w:tc>
          <w:tcPr>
            <w:tcW w:w="1555" w:type="dxa"/>
            <w:noWrap/>
            <w:vAlign w:val="center"/>
            <w:hideMark/>
          </w:tcPr>
          <w:p w:rsidR="001C7DEA" w:rsidRPr="004F0720" w:rsidP="00D61CD1" w14:paraId="1DB759F2"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 xml:space="preserve">Fiksēto likmju īpatsvars </w:t>
            </w:r>
          </w:p>
        </w:tc>
        <w:tc>
          <w:tcPr>
            <w:tcW w:w="2268" w:type="dxa"/>
            <w:gridSpan w:val="2"/>
            <w:vAlign w:val="center"/>
            <w:hideMark/>
          </w:tcPr>
          <w:p w:rsidR="001C7DEA" w:rsidRPr="004F0720" w:rsidP="00D61CD1" w14:paraId="1E0259E1"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ne mazāk kā 60 %</w:t>
            </w:r>
          </w:p>
        </w:tc>
        <w:tc>
          <w:tcPr>
            <w:tcW w:w="2409" w:type="dxa"/>
            <w:gridSpan w:val="2"/>
          </w:tcPr>
          <w:p w:rsidR="001C7DEA" w:rsidRPr="004F0720" w:rsidP="00D61CD1" w14:paraId="5B3ED2B8" w14:textId="77777777">
            <w:pPr>
              <w:spacing w:line="240" w:lineRule="auto"/>
              <w:jc w:val="both"/>
              <w:rPr>
                <w:rFonts w:eastAsia="Times New Roman" w:cs="Times New Roman"/>
                <w:sz w:val="16"/>
                <w:szCs w:val="16"/>
                <w:lang w:eastAsia="lv-LV"/>
              </w:rPr>
            </w:pPr>
          </w:p>
          <w:p w:rsidR="001C7DEA" w:rsidRPr="004F0720" w:rsidP="00D61CD1" w14:paraId="1426CFB6"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69% - fiksēta, 31% - mainīga</w:t>
            </w:r>
          </w:p>
        </w:tc>
        <w:tc>
          <w:tcPr>
            <w:tcW w:w="2268" w:type="dxa"/>
            <w:gridSpan w:val="2"/>
          </w:tcPr>
          <w:p w:rsidR="001C7DEA" w:rsidRPr="004F0720" w:rsidP="00D61CD1" w14:paraId="2FFB3E0D" w14:textId="77777777">
            <w:pPr>
              <w:spacing w:line="240" w:lineRule="auto"/>
              <w:jc w:val="both"/>
              <w:rPr>
                <w:rFonts w:eastAsia="Times New Roman" w:cs="Times New Roman"/>
                <w:sz w:val="16"/>
                <w:szCs w:val="16"/>
                <w:lang w:eastAsia="lv-LV"/>
              </w:rPr>
            </w:pPr>
          </w:p>
          <w:p w:rsidR="001C7DEA" w:rsidRPr="004F0720" w:rsidP="00D61CD1" w14:paraId="548856C2"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71% - fiksēta, 29% - mainīga</w:t>
            </w:r>
          </w:p>
        </w:tc>
      </w:tr>
      <w:tr w14:paraId="467990E9" w14:textId="77777777" w:rsidTr="00D61CD1">
        <w:tblPrEx>
          <w:tblW w:w="8500" w:type="dxa"/>
          <w:tblLayout w:type="fixed"/>
          <w:tblLook w:val="04A0"/>
        </w:tblPrEx>
        <w:trPr>
          <w:trHeight w:val="689"/>
        </w:trPr>
        <w:tc>
          <w:tcPr>
            <w:tcW w:w="1555" w:type="dxa"/>
            <w:vAlign w:val="center"/>
            <w:hideMark/>
          </w:tcPr>
          <w:p w:rsidR="001C7DEA" w:rsidRPr="004F0720" w:rsidP="00D61CD1" w14:paraId="62A8D9D0"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Procentu likmju vidējais  svērtais fiksētais periods (gados)</w:t>
            </w:r>
          </w:p>
        </w:tc>
        <w:tc>
          <w:tcPr>
            <w:tcW w:w="2268" w:type="dxa"/>
            <w:gridSpan w:val="2"/>
            <w:vAlign w:val="center"/>
            <w:hideMark/>
          </w:tcPr>
          <w:p w:rsidR="001C7DEA" w:rsidRPr="004F0720" w:rsidP="00D61CD1" w14:paraId="02B8E3C6"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ne mazāk kā 2.5 gadi</w:t>
            </w:r>
          </w:p>
        </w:tc>
        <w:tc>
          <w:tcPr>
            <w:tcW w:w="2409" w:type="dxa"/>
            <w:gridSpan w:val="2"/>
          </w:tcPr>
          <w:p w:rsidR="001C7DEA" w:rsidRPr="004F0720" w:rsidP="00D61CD1" w14:paraId="0A06C2ED" w14:textId="77777777">
            <w:pPr>
              <w:spacing w:line="240" w:lineRule="auto"/>
              <w:jc w:val="both"/>
              <w:rPr>
                <w:rFonts w:eastAsia="Times New Roman" w:cs="Times New Roman"/>
                <w:sz w:val="16"/>
                <w:szCs w:val="16"/>
                <w:lang w:eastAsia="lv-LV"/>
              </w:rPr>
            </w:pPr>
          </w:p>
          <w:p w:rsidR="001C7DEA" w:rsidRPr="004F0720" w:rsidP="00D61CD1" w14:paraId="4070C715"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8.43 gadi</w:t>
            </w:r>
          </w:p>
        </w:tc>
        <w:tc>
          <w:tcPr>
            <w:tcW w:w="2268" w:type="dxa"/>
            <w:gridSpan w:val="2"/>
          </w:tcPr>
          <w:p w:rsidR="001C7DEA" w:rsidRPr="004F0720" w:rsidP="00D61CD1" w14:paraId="419237F4" w14:textId="77777777">
            <w:pPr>
              <w:spacing w:line="240" w:lineRule="auto"/>
              <w:jc w:val="both"/>
              <w:rPr>
                <w:rFonts w:eastAsia="Times New Roman" w:cs="Times New Roman"/>
                <w:sz w:val="16"/>
                <w:szCs w:val="16"/>
                <w:lang w:eastAsia="lv-LV"/>
              </w:rPr>
            </w:pPr>
          </w:p>
          <w:p w:rsidR="001C7DEA" w:rsidRPr="004F0720" w:rsidP="00D61CD1" w14:paraId="21795333"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10.16 gadi</w:t>
            </w:r>
          </w:p>
        </w:tc>
      </w:tr>
      <w:tr w14:paraId="39C82BE5" w14:textId="77777777" w:rsidTr="00D61CD1">
        <w:tblPrEx>
          <w:tblW w:w="8500" w:type="dxa"/>
          <w:tblLayout w:type="fixed"/>
          <w:tblLook w:val="04A0"/>
        </w:tblPrEx>
        <w:trPr>
          <w:trHeight w:val="689"/>
        </w:trPr>
        <w:tc>
          <w:tcPr>
            <w:tcW w:w="1555" w:type="dxa"/>
            <w:vAlign w:val="center"/>
          </w:tcPr>
          <w:p w:rsidR="001C7DEA" w:rsidRPr="004F0720" w:rsidP="00D61CD1" w14:paraId="40B91C20"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Kopējais saistību pamatsummas apjoms</w:t>
            </w:r>
          </w:p>
        </w:tc>
        <w:tc>
          <w:tcPr>
            <w:tcW w:w="2268" w:type="dxa"/>
            <w:gridSpan w:val="2"/>
            <w:vAlign w:val="center"/>
          </w:tcPr>
          <w:p w:rsidR="001C7DEA" w:rsidRPr="004F0720" w:rsidP="00D61CD1" w14:paraId="1878DD88" w14:textId="77777777">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nedrīkst pārsniegt 100 % no kārtējā gada budžeta ieņēmumiem</w:t>
            </w:r>
          </w:p>
        </w:tc>
        <w:tc>
          <w:tcPr>
            <w:tcW w:w="2409" w:type="dxa"/>
            <w:gridSpan w:val="2"/>
          </w:tcPr>
          <w:p w:rsidR="001C7DEA" w:rsidRPr="004F0720" w:rsidP="00D61CD1" w14:paraId="6FD75F14" w14:textId="77777777">
            <w:pPr>
              <w:spacing w:line="240" w:lineRule="auto"/>
              <w:jc w:val="both"/>
              <w:rPr>
                <w:rFonts w:eastAsia="Times New Roman" w:cs="Times New Roman"/>
                <w:sz w:val="16"/>
                <w:szCs w:val="16"/>
                <w:lang w:eastAsia="lv-LV"/>
              </w:rPr>
            </w:pPr>
          </w:p>
          <w:p w:rsidR="001C7DEA" w:rsidRPr="004F0720" w:rsidP="00D61CD1" w14:paraId="346776B5" w14:textId="2764269A">
            <w:pPr>
              <w:spacing w:line="240" w:lineRule="auto"/>
              <w:jc w:val="both"/>
              <w:rPr>
                <w:rFonts w:eastAsia="Times New Roman" w:cs="Times New Roman"/>
                <w:sz w:val="16"/>
                <w:szCs w:val="16"/>
                <w:lang w:eastAsia="lv-LV"/>
              </w:rPr>
            </w:pPr>
            <w:r w:rsidRPr="004F0720">
              <w:rPr>
                <w:rFonts w:eastAsia="Times New Roman" w:cs="Times New Roman"/>
                <w:sz w:val="16"/>
                <w:szCs w:val="16"/>
                <w:lang w:eastAsia="lv-LV"/>
              </w:rPr>
              <w:t>38.9</w:t>
            </w:r>
            <w:r>
              <w:rPr>
                <w:rFonts w:eastAsia="Times New Roman" w:cs="Times New Roman"/>
                <w:sz w:val="16"/>
                <w:szCs w:val="16"/>
                <w:lang w:eastAsia="lv-LV"/>
              </w:rPr>
              <w:t>9</w:t>
            </w:r>
            <w:r w:rsidR="00321515">
              <w:rPr>
                <w:rFonts w:eastAsia="Times New Roman" w:cs="Times New Roman"/>
                <w:sz w:val="16"/>
                <w:szCs w:val="16"/>
                <w:lang w:eastAsia="lv-LV"/>
              </w:rPr>
              <w:t>%</w:t>
            </w:r>
          </w:p>
        </w:tc>
        <w:tc>
          <w:tcPr>
            <w:tcW w:w="2268" w:type="dxa"/>
            <w:gridSpan w:val="2"/>
          </w:tcPr>
          <w:p w:rsidR="001C7DEA" w:rsidRPr="004F0720" w:rsidP="00D61CD1" w14:paraId="0041BBB9" w14:textId="77777777">
            <w:pPr>
              <w:spacing w:line="240" w:lineRule="auto"/>
              <w:jc w:val="both"/>
              <w:rPr>
                <w:rFonts w:eastAsia="Times New Roman" w:cs="Times New Roman"/>
                <w:sz w:val="16"/>
                <w:szCs w:val="16"/>
                <w:lang w:eastAsia="lv-LV"/>
              </w:rPr>
            </w:pPr>
          </w:p>
          <w:p w:rsidR="001C7DEA" w:rsidRPr="004F0720" w:rsidP="00D61CD1" w14:paraId="74CB63FF" w14:textId="77777777">
            <w:pPr>
              <w:spacing w:line="240" w:lineRule="auto"/>
              <w:jc w:val="both"/>
              <w:rPr>
                <w:rFonts w:eastAsia="Times New Roman" w:cs="Times New Roman"/>
                <w:sz w:val="16"/>
                <w:szCs w:val="16"/>
                <w:lang w:eastAsia="lv-LV"/>
              </w:rPr>
            </w:pPr>
            <w:r>
              <w:rPr>
                <w:rFonts w:eastAsia="Times New Roman" w:cs="Times New Roman"/>
                <w:sz w:val="16"/>
                <w:szCs w:val="16"/>
                <w:lang w:eastAsia="lv-LV"/>
              </w:rPr>
              <w:t>39.34%</w:t>
            </w:r>
          </w:p>
        </w:tc>
      </w:tr>
    </w:tbl>
    <w:p w:rsidR="001C7DEA" w:rsidRPr="00580350" w:rsidP="001C7DEA" w14:paraId="4F48B49A" w14:textId="77777777">
      <w:pPr>
        <w:spacing w:line="240" w:lineRule="auto"/>
        <w:jc w:val="both"/>
        <w:rPr>
          <w:rFonts w:eastAsia="Times New Roman" w:cs="Times New Roman"/>
          <w:sz w:val="26"/>
          <w:szCs w:val="26"/>
          <w:lang w:eastAsia="lv-LV"/>
        </w:rPr>
      </w:pPr>
    </w:p>
    <w:p w:rsidR="001C7DEA" w:rsidRPr="00580350" w:rsidP="001C7DEA" w14:paraId="33454B91" w14:textId="77777777">
      <w:pPr>
        <w:spacing w:line="240" w:lineRule="auto"/>
        <w:jc w:val="both"/>
        <w:rPr>
          <w:rFonts w:eastAsia="Times New Roman" w:cs="Times New Roman"/>
          <w:sz w:val="26"/>
          <w:szCs w:val="26"/>
          <w:lang w:eastAsia="lv-LV"/>
        </w:rPr>
      </w:pPr>
      <w:r w:rsidRPr="00580350">
        <w:rPr>
          <w:rFonts w:eastAsia="Times New Roman" w:cs="Times New Roman"/>
          <w:sz w:val="26"/>
          <w:szCs w:val="26"/>
          <w:lang w:eastAsia="lv-LV"/>
        </w:rPr>
        <w:t>Pašvaldības ilgtermiņa saistību  (finanšu instrumentu) vadība ir saistīta ar šādiem finanšu riskiem:</w:t>
      </w:r>
    </w:p>
    <w:p w:rsidR="001C7DEA" w:rsidRPr="00580350" w:rsidP="001C7DEA" w14:paraId="0470C86E" w14:textId="77777777">
      <w:pPr>
        <w:pStyle w:val="ListParagraph"/>
        <w:numPr>
          <w:ilvl w:val="0"/>
          <w:numId w:val="1"/>
        </w:numPr>
        <w:jc w:val="both"/>
        <w:outlineLvl w:val="0"/>
        <w:rPr>
          <w:rFonts w:ascii="Times New Roman" w:eastAsia="Times New Roman" w:hAnsi="Times New Roman" w:cs="Times New Roman"/>
          <w:sz w:val="26"/>
          <w:szCs w:val="26"/>
        </w:rPr>
      </w:pPr>
      <w:r w:rsidRPr="00580350">
        <w:rPr>
          <w:rFonts w:ascii="Times New Roman" w:eastAsia="Times New Roman" w:hAnsi="Times New Roman" w:cs="Times New Roman"/>
          <w:sz w:val="26"/>
          <w:szCs w:val="26"/>
        </w:rPr>
        <w:t>valūtas risks;</w:t>
      </w:r>
    </w:p>
    <w:p w:rsidR="001C7DEA" w:rsidRPr="00580350" w:rsidP="001C7DEA" w14:paraId="75C5D3C3" w14:textId="77777777">
      <w:pPr>
        <w:pStyle w:val="ListParagraph"/>
        <w:numPr>
          <w:ilvl w:val="0"/>
          <w:numId w:val="1"/>
        </w:numPr>
        <w:jc w:val="both"/>
        <w:outlineLvl w:val="0"/>
        <w:rPr>
          <w:rFonts w:ascii="Times New Roman" w:eastAsia="Times New Roman" w:hAnsi="Times New Roman" w:cs="Times New Roman"/>
          <w:sz w:val="26"/>
          <w:szCs w:val="26"/>
        </w:rPr>
      </w:pPr>
      <w:r w:rsidRPr="00580350">
        <w:rPr>
          <w:rFonts w:ascii="Times New Roman" w:eastAsia="Times New Roman" w:hAnsi="Times New Roman" w:cs="Times New Roman"/>
          <w:sz w:val="26"/>
          <w:szCs w:val="26"/>
        </w:rPr>
        <w:t>procentu likmju risks;</w:t>
      </w:r>
    </w:p>
    <w:p w:rsidR="001C7DEA" w:rsidRPr="00580350" w:rsidP="001C7DEA" w14:paraId="4159DBB2" w14:textId="77777777">
      <w:pPr>
        <w:pStyle w:val="ListParagraph"/>
        <w:numPr>
          <w:ilvl w:val="0"/>
          <w:numId w:val="1"/>
        </w:numPr>
        <w:jc w:val="both"/>
        <w:outlineLvl w:val="0"/>
        <w:rPr>
          <w:rFonts w:ascii="Times New Roman" w:eastAsia="Times New Roman" w:hAnsi="Times New Roman" w:cs="Times New Roman"/>
          <w:sz w:val="26"/>
          <w:szCs w:val="26"/>
        </w:rPr>
      </w:pPr>
      <w:r w:rsidRPr="00580350">
        <w:rPr>
          <w:rFonts w:ascii="Times New Roman" w:eastAsia="Times New Roman" w:hAnsi="Times New Roman" w:cs="Times New Roman"/>
          <w:sz w:val="26"/>
          <w:szCs w:val="26"/>
        </w:rPr>
        <w:t>likviditātes risks.</w:t>
      </w:r>
    </w:p>
    <w:p w:rsidR="001C7DEA" w:rsidRPr="00580350" w:rsidP="001C7DEA" w14:paraId="2F4E1F3F" w14:textId="77777777">
      <w:pPr>
        <w:pStyle w:val="ListParagraph"/>
        <w:jc w:val="both"/>
        <w:outlineLvl w:val="0"/>
        <w:rPr>
          <w:rFonts w:ascii="Times New Roman" w:eastAsia="Times New Roman" w:hAnsi="Times New Roman" w:cs="Times New Roman"/>
          <w:sz w:val="26"/>
          <w:szCs w:val="26"/>
        </w:rPr>
      </w:pPr>
    </w:p>
    <w:p w:rsidR="001C7DEA" w:rsidRPr="00580350" w:rsidP="001C7DEA" w14:paraId="631176B9" w14:textId="77777777">
      <w:pPr>
        <w:spacing w:line="240" w:lineRule="auto"/>
        <w:jc w:val="both"/>
        <w:outlineLvl w:val="0"/>
        <w:rPr>
          <w:rFonts w:eastAsia="Times New Roman" w:cs="Times New Roman"/>
          <w:b/>
          <w:bCs/>
          <w:sz w:val="26"/>
          <w:szCs w:val="26"/>
          <w:lang w:eastAsia="lv-LV"/>
        </w:rPr>
      </w:pPr>
      <w:r w:rsidRPr="00580350">
        <w:rPr>
          <w:rFonts w:eastAsia="Times New Roman" w:cs="Times New Roman"/>
          <w:b/>
          <w:bCs/>
          <w:sz w:val="26"/>
          <w:szCs w:val="26"/>
          <w:lang w:eastAsia="lv-LV"/>
        </w:rPr>
        <w:t>Valūtas risks</w:t>
      </w:r>
    </w:p>
    <w:p w:rsidR="001C7DEA" w:rsidRPr="00580350" w:rsidP="001C7DEA" w14:paraId="300471F2" w14:textId="77777777">
      <w:pPr>
        <w:spacing w:line="240" w:lineRule="auto"/>
        <w:ind w:firstLine="540"/>
        <w:jc w:val="both"/>
        <w:rPr>
          <w:rFonts w:eastAsia="Times New Roman" w:cs="Times New Roman"/>
          <w:bCs/>
          <w:sz w:val="26"/>
          <w:szCs w:val="26"/>
          <w:lang w:eastAsia="lv-LV"/>
        </w:rPr>
      </w:pPr>
      <w:r w:rsidRPr="00580350">
        <w:rPr>
          <w:rFonts w:eastAsia="Times New Roman" w:cs="Times New Roman"/>
          <w:bCs/>
          <w:sz w:val="26"/>
          <w:szCs w:val="26"/>
          <w:lang w:eastAsia="lv-LV"/>
        </w:rPr>
        <w:t>Valūtu risku vadībai tiek noteikta un uzraudzīta optimālā tīrā parāda valūtas kompozīcija, kas ļauj ievērot saistību ārvalstu valūtas līdzsvaru un tādejādi izvairīties no valūtu kursu svārstību ietekmes.</w:t>
      </w:r>
    </w:p>
    <w:p w:rsidR="001C7DEA" w:rsidRPr="00580350" w:rsidP="001C7DEA" w14:paraId="3594297B" w14:textId="77777777">
      <w:pPr>
        <w:spacing w:line="240" w:lineRule="auto"/>
        <w:ind w:firstLine="540"/>
        <w:jc w:val="both"/>
        <w:rPr>
          <w:rFonts w:eastAsia="Times New Roman" w:cs="Times New Roman"/>
          <w:bCs/>
          <w:sz w:val="26"/>
          <w:szCs w:val="26"/>
          <w:lang w:eastAsia="lv-LV"/>
        </w:rPr>
      </w:pPr>
      <w:r w:rsidRPr="00580350">
        <w:rPr>
          <w:rFonts w:eastAsia="Times New Roman" w:cs="Times New Roman"/>
          <w:bCs/>
          <w:sz w:val="26"/>
          <w:szCs w:val="26"/>
          <w:lang w:eastAsia="lv-LV"/>
        </w:rPr>
        <w:t>202</w:t>
      </w:r>
      <w:r>
        <w:rPr>
          <w:rFonts w:eastAsia="Times New Roman" w:cs="Times New Roman"/>
          <w:bCs/>
          <w:sz w:val="26"/>
          <w:szCs w:val="26"/>
          <w:lang w:eastAsia="lv-LV"/>
        </w:rPr>
        <w:t>5</w:t>
      </w:r>
      <w:r w:rsidRPr="00580350">
        <w:rPr>
          <w:rFonts w:eastAsia="Times New Roman" w:cs="Times New Roman"/>
          <w:bCs/>
          <w:sz w:val="26"/>
          <w:szCs w:val="26"/>
          <w:lang w:eastAsia="lv-LV"/>
        </w:rPr>
        <w:t xml:space="preserve">.gada 31.decembrī Rīgas </w:t>
      </w:r>
      <w:r w:rsidRPr="00580350">
        <w:rPr>
          <w:rFonts w:eastAsia="Times New Roman" w:cs="Times New Roman"/>
          <w:bCs/>
          <w:sz w:val="26"/>
          <w:szCs w:val="26"/>
          <w:lang w:eastAsia="lv-LV"/>
        </w:rPr>
        <w:t>valstspilsētas</w:t>
      </w:r>
      <w:r w:rsidRPr="00580350">
        <w:rPr>
          <w:rFonts w:eastAsia="Times New Roman" w:cs="Times New Roman"/>
          <w:bCs/>
          <w:sz w:val="26"/>
          <w:szCs w:val="26"/>
          <w:lang w:eastAsia="lv-LV"/>
        </w:rPr>
        <w:t xml:space="preserve"> pašvaldības finanšu instrumentu saistības  100 % apmērā bija  eiro valūtā.</w:t>
      </w:r>
    </w:p>
    <w:p w:rsidR="001C7DEA" w:rsidRPr="00580350" w:rsidP="001C7DEA" w14:paraId="100821FD" w14:textId="77777777">
      <w:pPr>
        <w:spacing w:line="240" w:lineRule="auto"/>
        <w:ind w:firstLine="540"/>
        <w:jc w:val="both"/>
        <w:rPr>
          <w:rFonts w:eastAsia="Times New Roman" w:cs="Times New Roman"/>
          <w:bCs/>
          <w:sz w:val="26"/>
          <w:szCs w:val="26"/>
          <w:lang w:eastAsia="lv-LV"/>
        </w:rPr>
      </w:pPr>
    </w:p>
    <w:p w:rsidR="001C7DEA" w:rsidRPr="00505F01" w:rsidP="001C7DEA" w14:paraId="230C9345" w14:textId="77777777">
      <w:pPr>
        <w:spacing w:line="240" w:lineRule="auto"/>
        <w:jc w:val="both"/>
        <w:rPr>
          <w:rFonts w:eastAsia="Times New Roman" w:cs="Times New Roman"/>
          <w:b/>
          <w:bCs/>
          <w:sz w:val="26"/>
          <w:szCs w:val="26"/>
          <w:lang w:eastAsia="lv-LV"/>
        </w:rPr>
      </w:pPr>
      <w:r w:rsidRPr="00505F01">
        <w:rPr>
          <w:rFonts w:eastAsia="Times New Roman" w:cs="Times New Roman"/>
          <w:b/>
          <w:bCs/>
          <w:sz w:val="26"/>
          <w:szCs w:val="26"/>
          <w:lang w:eastAsia="lv-LV"/>
        </w:rPr>
        <w:t>Procentu likmju risks</w:t>
      </w:r>
    </w:p>
    <w:p w:rsidR="001C7DEA" w:rsidRPr="00505F01" w:rsidP="001C7DEA" w14:paraId="347A85EC" w14:textId="77777777">
      <w:pPr>
        <w:spacing w:line="240" w:lineRule="auto"/>
        <w:ind w:firstLine="540"/>
        <w:jc w:val="both"/>
        <w:rPr>
          <w:rFonts w:eastAsia="Times New Roman" w:cs="Times New Roman"/>
          <w:color w:val="000000" w:themeColor="text1"/>
          <w:sz w:val="26"/>
          <w:szCs w:val="26"/>
          <w:lang w:eastAsia="lv-LV"/>
        </w:rPr>
      </w:pPr>
      <w:r w:rsidRPr="00505F01">
        <w:rPr>
          <w:rFonts w:eastAsia="Times New Roman" w:cs="Times New Roman"/>
          <w:color w:val="000000" w:themeColor="text1"/>
          <w:sz w:val="26"/>
          <w:szCs w:val="26"/>
          <w:lang w:eastAsia="lv-LV"/>
        </w:rPr>
        <w:t xml:space="preserve">Procentu likmju risks var rasties tiem pašvaldības aizņēmumiem, kuriem ir noteikta mainīga procentu likme, jo pastāv iespējamība, ka aizņēmumu procentu maksājumi var nozīmīgi pieaugt situācijās, kad procentu likme palielinās. </w:t>
      </w:r>
    </w:p>
    <w:p w:rsidR="001C7DEA" w:rsidRPr="00505F01" w:rsidP="001C7DEA" w14:paraId="5B708FFD" w14:textId="77777777">
      <w:pPr>
        <w:autoSpaceDE w:val="0"/>
        <w:autoSpaceDN w:val="0"/>
        <w:adjustRightInd w:val="0"/>
        <w:spacing w:line="240" w:lineRule="auto"/>
        <w:ind w:firstLine="540"/>
        <w:jc w:val="both"/>
        <w:rPr>
          <w:rFonts w:eastAsia="Times New Roman" w:cs="Times New Roman"/>
          <w:color w:val="000000" w:themeColor="text1"/>
          <w:sz w:val="26"/>
          <w:szCs w:val="26"/>
          <w:lang w:eastAsia="lv-LV"/>
        </w:rPr>
      </w:pPr>
      <w:r w:rsidRPr="00505F01">
        <w:rPr>
          <w:rFonts w:eastAsia="Times New Roman" w:cs="Times New Roman"/>
          <w:color w:val="000000" w:themeColor="text1"/>
          <w:sz w:val="26"/>
          <w:szCs w:val="26"/>
          <w:lang w:eastAsia="lv-LV"/>
        </w:rPr>
        <w:t>Lai nodrošinātu stabilas ilgtermiņa saistību apkalpošanas izmaksas, un to prognozējamību, ilgtermiņa saistību vadības procesā ir nepieciešams  nodrošināt, ka ne mazāk kā 60% no ilgtermiņa saistību portfeļa kopapjoma procentu likme ir fiksēta uz termiņu, kas ir lielāks par vienu gadu, tādejādi mazinot risku, ka tirgus likmju svārstību rezultātā pašvaldības izmaksas par finansējuma izmantošanu būs būtiski augstākas nekā plānots.</w:t>
      </w:r>
    </w:p>
    <w:p w:rsidR="001C7DEA" w:rsidP="001C7DEA" w14:paraId="0850D446" w14:textId="0AC38A23">
      <w:pPr>
        <w:spacing w:line="240" w:lineRule="auto"/>
        <w:ind w:firstLine="540"/>
        <w:jc w:val="both"/>
        <w:rPr>
          <w:rFonts w:eastAsia="Times New Roman" w:cs="Times New Roman"/>
          <w:color w:val="000000" w:themeColor="text1"/>
          <w:sz w:val="26"/>
          <w:szCs w:val="26"/>
          <w:lang w:eastAsia="lv-LV"/>
        </w:rPr>
      </w:pPr>
      <w:r w:rsidRPr="00505F01">
        <w:rPr>
          <w:rFonts w:eastAsia="Times New Roman" w:cs="Times New Roman"/>
          <w:color w:val="000000" w:themeColor="text1"/>
          <w:sz w:val="26"/>
          <w:szCs w:val="26"/>
          <w:lang w:eastAsia="lv-LV"/>
        </w:rPr>
        <w:t xml:space="preserve">2025. gada </w:t>
      </w:r>
      <w:r w:rsidRPr="000A29B7">
        <w:rPr>
          <w:rFonts w:eastAsia="Times New Roman" w:cs="Times New Roman"/>
          <w:color w:val="000000" w:themeColor="text1"/>
          <w:sz w:val="26"/>
          <w:szCs w:val="26"/>
          <w:lang w:eastAsia="lv-LV"/>
        </w:rPr>
        <w:t xml:space="preserve">beigās </w:t>
      </w:r>
      <w:r w:rsidRPr="00F90235">
        <w:rPr>
          <w:rFonts w:eastAsia="Times New Roman" w:cs="Times New Roman"/>
          <w:color w:val="000000" w:themeColor="text1"/>
          <w:sz w:val="26"/>
          <w:szCs w:val="26"/>
          <w:lang w:eastAsia="lv-LV"/>
        </w:rPr>
        <w:t>71</w:t>
      </w:r>
      <w:r>
        <w:rPr>
          <w:rFonts w:eastAsia="Times New Roman" w:cs="Times New Roman"/>
          <w:color w:val="000000" w:themeColor="text1"/>
          <w:sz w:val="26"/>
          <w:szCs w:val="26"/>
          <w:lang w:eastAsia="lv-LV"/>
        </w:rPr>
        <w:t>procents</w:t>
      </w:r>
      <w:r w:rsidRPr="000A29B7">
        <w:rPr>
          <w:rFonts w:eastAsia="Times New Roman" w:cs="Times New Roman"/>
          <w:color w:val="000000" w:themeColor="text1"/>
          <w:sz w:val="26"/>
          <w:szCs w:val="26"/>
          <w:lang w:eastAsia="lv-LV"/>
        </w:rPr>
        <w:t xml:space="preserve"> no kopējām</w:t>
      </w:r>
      <w:r w:rsidRPr="00505F01">
        <w:rPr>
          <w:rFonts w:eastAsia="Times New Roman" w:cs="Times New Roman"/>
          <w:color w:val="000000" w:themeColor="text1"/>
          <w:sz w:val="26"/>
          <w:szCs w:val="26"/>
          <w:lang w:eastAsia="lv-LV"/>
        </w:rPr>
        <w:t xml:space="preserve"> pašvaldības saistībām bija ar fiksētu procentu likmi, kas atbilst stratēģijā noteiktajam pieļaujamam līmenim.</w:t>
      </w:r>
      <w:r w:rsidRPr="00C340C5">
        <w:rPr>
          <w:rFonts w:eastAsia="Times New Roman" w:cs="Times New Roman"/>
          <w:color w:val="000000" w:themeColor="text1"/>
          <w:sz w:val="26"/>
          <w:szCs w:val="26"/>
          <w:lang w:eastAsia="lv-LV"/>
        </w:rPr>
        <w:t xml:space="preserve"> </w:t>
      </w:r>
    </w:p>
    <w:p w:rsidR="001C7DEA" w:rsidP="001C7DEA" w14:paraId="1FEC4278" w14:textId="77777777">
      <w:pPr>
        <w:spacing w:line="240" w:lineRule="auto"/>
        <w:ind w:firstLine="540"/>
        <w:jc w:val="both"/>
        <w:rPr>
          <w:rFonts w:eastAsia="Times New Roman" w:cs="Times New Roman"/>
          <w:b/>
          <w:bCs/>
          <w:color w:val="000000" w:themeColor="text1"/>
          <w:szCs w:val="24"/>
          <w:lang w:eastAsia="lv-LV"/>
        </w:rPr>
      </w:pPr>
    </w:p>
    <w:p w:rsidR="001C7DEA" w:rsidP="001C7DEA" w14:paraId="45BEC28C" w14:textId="77777777">
      <w:pPr>
        <w:spacing w:line="240" w:lineRule="auto"/>
        <w:ind w:firstLine="540"/>
        <w:jc w:val="both"/>
        <w:rPr>
          <w:rFonts w:eastAsia="Times New Roman" w:cs="Times New Roman"/>
          <w:b/>
          <w:bCs/>
          <w:color w:val="000000" w:themeColor="text1"/>
          <w:szCs w:val="24"/>
          <w:lang w:eastAsia="lv-LV"/>
        </w:rPr>
      </w:pPr>
    </w:p>
    <w:p w:rsidR="001C7DEA" w:rsidP="001C7DEA" w14:paraId="423A3D3E" w14:textId="77777777">
      <w:pPr>
        <w:spacing w:line="240" w:lineRule="auto"/>
        <w:jc w:val="both"/>
        <w:rPr>
          <w:rFonts w:eastAsia="Times New Roman" w:cs="Times New Roman"/>
          <w:b/>
          <w:bCs/>
          <w:color w:val="000000" w:themeColor="text1"/>
          <w:szCs w:val="24"/>
          <w:lang w:eastAsia="lv-LV"/>
        </w:rPr>
      </w:pPr>
    </w:p>
    <w:p w:rsidR="00E548A3" w:rsidP="001C7DEA" w14:paraId="34079D5E" w14:textId="77777777">
      <w:pPr>
        <w:spacing w:line="240" w:lineRule="auto"/>
        <w:jc w:val="both"/>
        <w:rPr>
          <w:rFonts w:eastAsia="Times New Roman" w:cs="Times New Roman"/>
          <w:b/>
          <w:bCs/>
          <w:color w:val="000000" w:themeColor="text1"/>
          <w:szCs w:val="24"/>
          <w:lang w:eastAsia="lv-LV"/>
        </w:rPr>
      </w:pPr>
    </w:p>
    <w:p w:rsidR="001C7DEA" w:rsidP="001C7DEA" w14:paraId="4F4C38D5" w14:textId="77777777">
      <w:pPr>
        <w:spacing w:line="240" w:lineRule="auto"/>
        <w:jc w:val="both"/>
        <w:rPr>
          <w:rFonts w:eastAsia="Times New Roman" w:cs="Times New Roman"/>
          <w:sz w:val="26"/>
          <w:szCs w:val="26"/>
          <w:highlight w:val="yellow"/>
          <w:lang w:eastAsia="lv-LV"/>
        </w:rPr>
      </w:pPr>
      <w:r>
        <w:rPr>
          <w:noProof/>
        </w:rPr>
        <w:drawing>
          <wp:inline distT="0" distB="0" distL="0" distR="0">
            <wp:extent cx="5791200" cy="2000885"/>
            <wp:effectExtent l="0" t="0" r="0" b="18415"/>
            <wp:docPr id="2021210212" name="Diagramma 1" descr="gggggggggggggggg">
              <a:extLst xmlns:a="http://schemas.openxmlformats.org/drawingml/2006/main">
                <a:ext xmlns:a="http://schemas.openxmlformats.org/drawingml/2006/main" uri="{FF2B5EF4-FFF2-40B4-BE49-F238E27FC236}">
                  <a16:creationId xmlns:a16="http://schemas.microsoft.com/office/drawing/2014/main" id="{54A358E4-1CF9-5AE7-FEE3-B6FC9F629F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1C7DEA" w:rsidP="001C7DEA" w14:paraId="3A2D1DE5" w14:textId="77777777">
      <w:pPr>
        <w:spacing w:line="240" w:lineRule="auto"/>
        <w:ind w:firstLine="540"/>
        <w:jc w:val="both"/>
        <w:rPr>
          <w:rFonts w:eastAsia="Times New Roman" w:cs="Times New Roman"/>
          <w:sz w:val="26"/>
          <w:szCs w:val="26"/>
          <w:highlight w:val="yellow"/>
          <w:lang w:eastAsia="lv-LV"/>
        </w:rPr>
      </w:pPr>
      <w:bookmarkStart w:id="0" w:name="_Hlk127178710"/>
    </w:p>
    <w:p w:rsidR="001C7DEA" w:rsidRPr="005E6B62" w:rsidP="001C7DEA" w14:paraId="6FE09DD9" w14:textId="77777777">
      <w:pPr>
        <w:spacing w:line="240" w:lineRule="auto"/>
        <w:ind w:firstLine="540"/>
        <w:jc w:val="both"/>
        <w:rPr>
          <w:rFonts w:eastAsia="Times New Roman" w:cs="Times New Roman"/>
          <w:sz w:val="26"/>
          <w:szCs w:val="26"/>
          <w:lang w:eastAsia="lv-LV"/>
        </w:rPr>
      </w:pPr>
      <w:r w:rsidRPr="005E6B62">
        <w:rPr>
          <w:rFonts w:eastAsia="Times New Roman" w:cs="Times New Roman"/>
          <w:sz w:val="26"/>
          <w:szCs w:val="26"/>
          <w:lang w:eastAsia="lv-LV"/>
        </w:rPr>
        <w:t xml:space="preserve">  Eiropas Centrālā banka  kopš 2024. gada jūnija pirmoreiz gandrīz piecu gadu laikā  nolēma samazināt </w:t>
      </w:r>
      <w:r>
        <w:rPr>
          <w:rFonts w:eastAsia="Times New Roman" w:cs="Times New Roman"/>
          <w:sz w:val="26"/>
          <w:szCs w:val="26"/>
          <w:lang w:eastAsia="lv-LV"/>
        </w:rPr>
        <w:t>procentu l</w:t>
      </w:r>
      <w:r w:rsidRPr="005E6B62">
        <w:rPr>
          <w:rFonts w:eastAsia="Times New Roman" w:cs="Times New Roman"/>
          <w:sz w:val="26"/>
          <w:szCs w:val="26"/>
          <w:lang w:eastAsia="lv-LV"/>
        </w:rPr>
        <w:t>ikmes.  Astotais likmju samazinājums notika 2025.gada jūnijā, kas  nozīmēja pakāpenisku maksājumu samazinājumu kredītņēmējiem.</w:t>
      </w:r>
    </w:p>
    <w:p w:rsidR="001C7DEA" w:rsidRPr="00484FE1" w:rsidP="001C7DEA" w14:paraId="17148EDD" w14:textId="332BB29C">
      <w:pPr>
        <w:spacing w:line="240" w:lineRule="auto"/>
        <w:ind w:firstLine="540"/>
        <w:jc w:val="both"/>
        <w:rPr>
          <w:rFonts w:eastAsia="Times New Roman" w:cs="Times New Roman"/>
          <w:sz w:val="26"/>
          <w:szCs w:val="26"/>
          <w:lang w:eastAsia="lv-LV"/>
        </w:rPr>
      </w:pPr>
      <w:r w:rsidRPr="00484FE1">
        <w:rPr>
          <w:rFonts w:eastAsia="Times New Roman" w:cs="Times New Roman"/>
          <w:sz w:val="26"/>
          <w:szCs w:val="26"/>
          <w:lang w:eastAsia="lv-LV"/>
        </w:rPr>
        <w:t xml:space="preserve"> Lai nodrošinātu saistību maksājumu prognozējamību un stabilitāti,</w:t>
      </w:r>
      <w:r>
        <w:rPr>
          <w:rFonts w:eastAsia="Times New Roman" w:cs="Times New Roman"/>
          <w:sz w:val="26"/>
          <w:szCs w:val="26"/>
          <w:lang w:eastAsia="lv-LV"/>
        </w:rPr>
        <w:t xml:space="preserve"> un ņemot vērā EURIBOR likmju samazināšanos kopš 2024.gada otrās puses, </w:t>
      </w:r>
      <w:r w:rsidRPr="00484FE1">
        <w:rPr>
          <w:rFonts w:eastAsia="Times New Roman" w:cs="Times New Roman"/>
          <w:sz w:val="26"/>
          <w:szCs w:val="26"/>
          <w:lang w:eastAsia="lv-LV"/>
        </w:rPr>
        <w:t xml:space="preserve">Rīgas </w:t>
      </w:r>
      <w:r w:rsidRPr="00484FE1">
        <w:rPr>
          <w:rFonts w:eastAsia="Times New Roman" w:cs="Times New Roman"/>
          <w:sz w:val="26"/>
          <w:szCs w:val="26"/>
          <w:lang w:eastAsia="lv-LV"/>
        </w:rPr>
        <w:t>valstspilsētas</w:t>
      </w:r>
      <w:r w:rsidRPr="00484FE1">
        <w:rPr>
          <w:rFonts w:eastAsia="Times New Roman" w:cs="Times New Roman"/>
          <w:sz w:val="26"/>
          <w:szCs w:val="26"/>
          <w:lang w:eastAsia="lv-LV"/>
        </w:rPr>
        <w:t xml:space="preserve"> pašvaldība 2025.gadā   piesaistīja finanšu resursus gan ar fiksētajām</w:t>
      </w:r>
      <w:r w:rsidRPr="007F03C3">
        <w:t xml:space="preserve"> </w:t>
      </w:r>
      <w:r w:rsidRPr="007F03C3">
        <w:rPr>
          <w:rFonts w:eastAsia="Times New Roman" w:cs="Times New Roman"/>
          <w:sz w:val="26"/>
          <w:szCs w:val="26"/>
          <w:lang w:eastAsia="lv-LV"/>
        </w:rPr>
        <w:t>procent</w:t>
      </w:r>
      <w:r>
        <w:rPr>
          <w:rFonts w:eastAsia="Times New Roman" w:cs="Times New Roman"/>
          <w:sz w:val="26"/>
          <w:szCs w:val="26"/>
          <w:lang w:eastAsia="lv-LV"/>
        </w:rPr>
        <w:t>u</w:t>
      </w:r>
      <w:r w:rsidRPr="00484FE1">
        <w:rPr>
          <w:rFonts w:eastAsia="Times New Roman" w:cs="Times New Roman"/>
          <w:sz w:val="26"/>
          <w:szCs w:val="26"/>
          <w:lang w:eastAsia="lv-LV"/>
        </w:rPr>
        <w:t xml:space="preserve">  likmēm, gan ar mainīgajām </w:t>
      </w:r>
      <w:r w:rsidRPr="007F03C3">
        <w:rPr>
          <w:rFonts w:eastAsia="Times New Roman" w:cs="Times New Roman"/>
          <w:sz w:val="26"/>
          <w:szCs w:val="26"/>
          <w:lang w:eastAsia="lv-LV"/>
        </w:rPr>
        <w:t xml:space="preserve">procentu </w:t>
      </w:r>
      <w:r w:rsidRPr="00484FE1">
        <w:rPr>
          <w:rFonts w:eastAsia="Times New Roman" w:cs="Times New Roman"/>
          <w:sz w:val="26"/>
          <w:szCs w:val="26"/>
          <w:lang w:eastAsia="lv-LV"/>
        </w:rPr>
        <w:t xml:space="preserve"> likmēm, izvērtējot attiecīgā brīža </w:t>
      </w:r>
      <w:r w:rsidRPr="007F03C3">
        <w:rPr>
          <w:rFonts w:eastAsia="Times New Roman" w:cs="Times New Roman"/>
          <w:sz w:val="26"/>
          <w:szCs w:val="26"/>
          <w:lang w:eastAsia="lv-LV"/>
        </w:rPr>
        <w:t xml:space="preserve">procentu </w:t>
      </w:r>
      <w:r w:rsidR="00CA314E">
        <w:rPr>
          <w:rFonts w:eastAsia="Times New Roman" w:cs="Times New Roman"/>
          <w:sz w:val="26"/>
          <w:szCs w:val="26"/>
          <w:lang w:eastAsia="lv-LV"/>
        </w:rPr>
        <w:t>l</w:t>
      </w:r>
      <w:r w:rsidRPr="00484FE1">
        <w:rPr>
          <w:rFonts w:eastAsia="Times New Roman" w:cs="Times New Roman"/>
          <w:sz w:val="26"/>
          <w:szCs w:val="26"/>
          <w:lang w:eastAsia="lv-LV"/>
        </w:rPr>
        <w:t xml:space="preserve">ikmju piedāvājumu, kā arī nodrošinot fiksēto/mainīgo </w:t>
      </w:r>
      <w:r w:rsidRPr="007F03C3">
        <w:rPr>
          <w:rFonts w:eastAsia="Times New Roman" w:cs="Times New Roman"/>
          <w:sz w:val="26"/>
          <w:szCs w:val="26"/>
          <w:lang w:eastAsia="lv-LV"/>
        </w:rPr>
        <w:t xml:space="preserve">procentu </w:t>
      </w:r>
      <w:r w:rsidRPr="00484FE1">
        <w:rPr>
          <w:rFonts w:eastAsia="Times New Roman" w:cs="Times New Roman"/>
          <w:sz w:val="26"/>
          <w:szCs w:val="26"/>
          <w:lang w:eastAsia="lv-LV"/>
        </w:rPr>
        <w:t>likmju attiecības atbilstību Stratēģijā noteiktajam.</w:t>
      </w:r>
    </w:p>
    <w:p w:rsidR="001C7DEA" w:rsidP="001C7DEA" w14:paraId="0AB95FAC" w14:textId="77777777">
      <w:pPr>
        <w:spacing w:line="240" w:lineRule="auto"/>
        <w:ind w:firstLine="540"/>
        <w:jc w:val="both"/>
        <w:rPr>
          <w:rFonts w:eastAsia="Times New Roman" w:cs="Times New Roman"/>
          <w:sz w:val="26"/>
          <w:szCs w:val="26"/>
          <w:lang w:eastAsia="lv-LV"/>
        </w:rPr>
      </w:pPr>
      <w:r w:rsidRPr="00484FE1">
        <w:rPr>
          <w:rFonts w:eastAsia="Times New Roman" w:cs="Times New Roman"/>
          <w:sz w:val="26"/>
          <w:szCs w:val="26"/>
          <w:lang w:eastAsia="lv-LV"/>
        </w:rPr>
        <w:t xml:space="preserve">Tā kā arī 2025.gadā </w:t>
      </w:r>
      <w:r w:rsidRPr="008E2A50">
        <w:rPr>
          <w:rFonts w:eastAsia="Times New Roman" w:cs="Times New Roman"/>
          <w:sz w:val="26"/>
          <w:szCs w:val="26"/>
          <w:lang w:eastAsia="lv-LV"/>
        </w:rPr>
        <w:t xml:space="preserve">komercbankas </w:t>
      </w:r>
      <w:r w:rsidRPr="00484FE1">
        <w:rPr>
          <w:rFonts w:eastAsia="Times New Roman" w:cs="Times New Roman"/>
          <w:sz w:val="26"/>
          <w:szCs w:val="26"/>
          <w:lang w:eastAsia="lv-LV"/>
        </w:rPr>
        <w:t xml:space="preserve">piedāvāja konkurētspējīgas aizdevumu likmes, Rīgas </w:t>
      </w:r>
      <w:r w:rsidRPr="00484FE1">
        <w:rPr>
          <w:rFonts w:eastAsia="Times New Roman" w:cs="Times New Roman"/>
          <w:sz w:val="26"/>
          <w:szCs w:val="26"/>
          <w:lang w:eastAsia="lv-LV"/>
        </w:rPr>
        <w:t>valstspilsētas</w:t>
      </w:r>
      <w:r w:rsidRPr="00484FE1">
        <w:rPr>
          <w:rFonts w:eastAsia="Times New Roman" w:cs="Times New Roman"/>
          <w:sz w:val="26"/>
          <w:szCs w:val="26"/>
          <w:lang w:eastAsia="lv-LV"/>
        </w:rPr>
        <w:t xml:space="preserve"> pašvaldība turpināja savu sadarbību ar komercbankām, noslēdzot   jaunus aizdevuma līgumus pašvaldības investīciju projektu īstenošanai.  </w:t>
      </w:r>
    </w:p>
    <w:p w:rsidR="001C7DEA" w:rsidP="001C7DEA" w14:paraId="0498037C" w14:textId="77777777">
      <w:pPr>
        <w:spacing w:line="240" w:lineRule="auto"/>
        <w:ind w:firstLine="540"/>
        <w:jc w:val="both"/>
        <w:rPr>
          <w:rFonts w:eastAsia="Times New Roman" w:cs="Times New Roman"/>
          <w:sz w:val="26"/>
          <w:szCs w:val="26"/>
          <w:lang w:eastAsia="lv-LV"/>
        </w:rPr>
      </w:pPr>
      <w:r w:rsidRPr="00F74234">
        <w:rPr>
          <w:rFonts w:eastAsia="Times New Roman" w:cs="Times New Roman"/>
          <w:sz w:val="26"/>
          <w:szCs w:val="26"/>
          <w:lang w:eastAsia="lv-LV"/>
        </w:rPr>
        <w:t xml:space="preserve">Kopumā Rīgas </w:t>
      </w:r>
      <w:r w:rsidRPr="00F74234">
        <w:rPr>
          <w:rFonts w:eastAsia="Times New Roman" w:cs="Times New Roman"/>
          <w:sz w:val="26"/>
          <w:szCs w:val="26"/>
          <w:lang w:eastAsia="lv-LV"/>
        </w:rPr>
        <w:t>valstspilsētas</w:t>
      </w:r>
      <w:r w:rsidRPr="00F74234">
        <w:rPr>
          <w:rFonts w:eastAsia="Times New Roman" w:cs="Times New Roman"/>
          <w:sz w:val="26"/>
          <w:szCs w:val="26"/>
          <w:lang w:eastAsia="lv-LV"/>
        </w:rPr>
        <w:t xml:space="preserve"> pašvaldība 2025.gadā piesaistīja aizņēmumu līdzekļus 137.4</w:t>
      </w:r>
      <w:r>
        <w:rPr>
          <w:rFonts w:eastAsia="Times New Roman" w:cs="Times New Roman"/>
          <w:sz w:val="26"/>
          <w:szCs w:val="26"/>
          <w:lang w:eastAsia="lv-LV"/>
        </w:rPr>
        <w:t>8</w:t>
      </w:r>
      <w:r w:rsidRPr="00F74234">
        <w:rPr>
          <w:rFonts w:eastAsia="Times New Roman" w:cs="Times New Roman"/>
          <w:sz w:val="26"/>
          <w:szCs w:val="26"/>
          <w:lang w:eastAsia="lv-LV"/>
        </w:rPr>
        <w:t xml:space="preserve"> milj. </w:t>
      </w:r>
      <w:r w:rsidRPr="003754C3">
        <w:rPr>
          <w:rFonts w:eastAsia="Times New Roman" w:cs="Times New Roman"/>
          <w:i/>
          <w:iCs/>
          <w:sz w:val="26"/>
          <w:szCs w:val="26"/>
          <w:lang w:eastAsia="lv-LV"/>
        </w:rPr>
        <w:t>euro</w:t>
      </w:r>
      <w:r w:rsidRPr="00F74234">
        <w:rPr>
          <w:rFonts w:eastAsia="Times New Roman" w:cs="Times New Roman"/>
          <w:sz w:val="26"/>
          <w:szCs w:val="26"/>
          <w:lang w:eastAsia="lv-LV"/>
        </w:rPr>
        <w:t xml:space="preserve"> apmērā.</w:t>
      </w:r>
    </w:p>
    <w:p w:rsidR="001C7DEA" w:rsidRPr="00F90235" w:rsidP="001C7DEA" w14:paraId="56CA4FC9" w14:textId="2E6FDC1F">
      <w:pPr>
        <w:spacing w:line="240" w:lineRule="auto"/>
        <w:ind w:firstLine="540"/>
        <w:jc w:val="both"/>
        <w:rPr>
          <w:rFonts w:eastAsia="Times New Roman" w:cs="Times New Roman"/>
          <w:sz w:val="26"/>
          <w:szCs w:val="26"/>
          <w:lang w:eastAsia="lv-LV"/>
        </w:rPr>
      </w:pPr>
      <w:r w:rsidRPr="00F74234">
        <w:rPr>
          <w:rFonts w:eastAsia="Times New Roman" w:cs="Times New Roman"/>
          <w:sz w:val="26"/>
          <w:szCs w:val="26"/>
          <w:lang w:eastAsia="lv-LV"/>
        </w:rPr>
        <w:t xml:space="preserve">Īstenojot  </w:t>
      </w:r>
      <w:r w:rsidRPr="00F90235">
        <w:rPr>
          <w:rFonts w:eastAsia="Times New Roman" w:cs="Times New Roman"/>
          <w:sz w:val="26"/>
          <w:szCs w:val="26"/>
          <w:lang w:eastAsia="lv-LV"/>
        </w:rPr>
        <w:t>Eiropas Savienības un Atveseļošanās fonda projektus, tika piesaistīti aizņēmumu līdzekļi 41.56  milj.</w:t>
      </w:r>
      <w:r w:rsidR="00CA314E">
        <w:rPr>
          <w:rFonts w:eastAsia="Times New Roman" w:cs="Times New Roman"/>
          <w:sz w:val="26"/>
          <w:szCs w:val="26"/>
          <w:lang w:eastAsia="lv-LV"/>
        </w:rPr>
        <w:t xml:space="preserve"> </w:t>
      </w:r>
      <w:r w:rsidRPr="003754C3">
        <w:rPr>
          <w:rFonts w:eastAsia="Times New Roman" w:cs="Times New Roman"/>
          <w:i/>
          <w:iCs/>
          <w:sz w:val="26"/>
          <w:szCs w:val="26"/>
          <w:lang w:eastAsia="lv-LV"/>
        </w:rPr>
        <w:t>euro</w:t>
      </w:r>
      <w:r w:rsidRPr="00F90235">
        <w:rPr>
          <w:rFonts w:eastAsia="Times New Roman" w:cs="Times New Roman"/>
          <w:sz w:val="26"/>
          <w:szCs w:val="26"/>
          <w:lang w:eastAsia="lv-LV"/>
        </w:rPr>
        <w:t xml:space="preserve"> apmērā. </w:t>
      </w:r>
    </w:p>
    <w:p w:rsidR="001C7DEA" w:rsidP="001C7DEA" w14:paraId="2A63C483" w14:textId="14121C2D">
      <w:pPr>
        <w:spacing w:line="240" w:lineRule="auto"/>
        <w:ind w:firstLine="540"/>
        <w:jc w:val="both"/>
        <w:rPr>
          <w:rFonts w:eastAsia="Times New Roman" w:cs="Times New Roman"/>
          <w:sz w:val="26"/>
          <w:szCs w:val="26"/>
          <w:lang w:eastAsia="lv-LV"/>
        </w:rPr>
      </w:pPr>
      <w:r w:rsidRPr="00F90235">
        <w:rPr>
          <w:rFonts w:eastAsia="Times New Roman" w:cs="Times New Roman"/>
          <w:sz w:val="26"/>
          <w:szCs w:val="26"/>
          <w:lang w:eastAsia="lv-LV"/>
        </w:rPr>
        <w:t>2025.gadā no aizņēmuma līdzekļiem tika uzsākta nozīmīga pašvaldības infrastruktūras projekta “Jāņa Čakstes gatves</w:t>
      </w:r>
      <w:r w:rsidRPr="002D26D6">
        <w:rPr>
          <w:rFonts w:eastAsia="Times New Roman" w:cs="Times New Roman"/>
          <w:sz w:val="26"/>
          <w:szCs w:val="26"/>
          <w:lang w:eastAsia="lv-LV"/>
        </w:rPr>
        <w:t xml:space="preserve"> izbūve”</w:t>
      </w:r>
      <w:r>
        <w:rPr>
          <w:rFonts w:eastAsia="Times New Roman" w:cs="Times New Roman"/>
          <w:sz w:val="26"/>
          <w:szCs w:val="26"/>
          <w:lang w:eastAsia="lv-LV"/>
        </w:rPr>
        <w:t xml:space="preserve"> (</w:t>
      </w:r>
      <w:r w:rsidRPr="00A57EEC">
        <w:rPr>
          <w:rFonts w:eastAsia="Times New Roman" w:cs="Times New Roman"/>
          <w:sz w:val="26"/>
          <w:szCs w:val="26"/>
          <w:lang w:eastAsia="lv-LV"/>
        </w:rPr>
        <w:t xml:space="preserve">Kohēzijas Fonda </w:t>
      </w:r>
      <w:r>
        <w:rPr>
          <w:rFonts w:eastAsia="Times New Roman" w:cs="Times New Roman"/>
          <w:sz w:val="26"/>
          <w:szCs w:val="26"/>
          <w:lang w:eastAsia="lv-LV"/>
        </w:rPr>
        <w:t xml:space="preserve">projekts)  </w:t>
      </w:r>
      <w:r w:rsidRPr="00A57EEC">
        <w:rPr>
          <w:rFonts w:eastAsia="Times New Roman" w:cs="Times New Roman"/>
          <w:sz w:val="26"/>
          <w:szCs w:val="26"/>
          <w:lang w:eastAsia="lv-LV"/>
        </w:rPr>
        <w:t xml:space="preserve"> </w:t>
      </w:r>
      <w:r>
        <w:rPr>
          <w:rFonts w:eastAsia="Times New Roman" w:cs="Times New Roman"/>
          <w:sz w:val="26"/>
          <w:szCs w:val="26"/>
          <w:lang w:eastAsia="lv-LV"/>
        </w:rPr>
        <w:t xml:space="preserve">finansēšana, noslēdzot aizdevuma līgumu ar Valsts kasi par finansējuma piesaisti </w:t>
      </w:r>
      <w:r w:rsidRPr="002D26D6">
        <w:rPr>
          <w:rFonts w:eastAsia="Times New Roman" w:cs="Times New Roman"/>
          <w:sz w:val="26"/>
          <w:szCs w:val="26"/>
          <w:lang w:eastAsia="lv-LV"/>
        </w:rPr>
        <w:t>vidēj</w:t>
      </w:r>
      <w:r>
        <w:rPr>
          <w:rFonts w:eastAsia="Times New Roman" w:cs="Times New Roman"/>
          <w:sz w:val="26"/>
          <w:szCs w:val="26"/>
          <w:lang w:eastAsia="lv-LV"/>
        </w:rPr>
        <w:t>ā</w:t>
      </w:r>
      <w:r w:rsidRPr="002D26D6">
        <w:rPr>
          <w:rFonts w:eastAsia="Times New Roman" w:cs="Times New Roman"/>
          <w:sz w:val="26"/>
          <w:szCs w:val="26"/>
          <w:lang w:eastAsia="lv-LV"/>
        </w:rPr>
        <w:t xml:space="preserve"> </w:t>
      </w:r>
      <w:r w:rsidRPr="00F90235">
        <w:rPr>
          <w:rFonts w:eastAsia="Times New Roman" w:cs="Times New Roman"/>
          <w:sz w:val="26"/>
          <w:szCs w:val="26"/>
          <w:lang w:eastAsia="lv-LV"/>
        </w:rPr>
        <w:t xml:space="preserve">termiņā 67 687 719 </w:t>
      </w:r>
      <w:r w:rsidRPr="003754C3">
        <w:rPr>
          <w:rFonts w:eastAsia="Times New Roman" w:cs="Times New Roman"/>
          <w:i/>
          <w:iCs/>
          <w:sz w:val="26"/>
          <w:szCs w:val="26"/>
          <w:lang w:eastAsia="lv-LV"/>
        </w:rPr>
        <w:t>euro</w:t>
      </w:r>
      <w:r w:rsidRPr="00F90235">
        <w:rPr>
          <w:rFonts w:eastAsia="Times New Roman" w:cs="Times New Roman"/>
          <w:sz w:val="26"/>
          <w:szCs w:val="26"/>
          <w:lang w:eastAsia="lv-LV"/>
        </w:rPr>
        <w:t xml:space="preserve"> apmērā, un aizdevuma  atmaksas termiņu uz 30 gadiem. 2025.gadā projekta finansēšanā tika piesaistīts aizņēmums  27</w:t>
      </w:r>
      <w:r w:rsidR="00E0754E">
        <w:rPr>
          <w:rFonts w:eastAsia="Times New Roman" w:cs="Times New Roman"/>
          <w:sz w:val="26"/>
          <w:szCs w:val="26"/>
          <w:lang w:eastAsia="lv-LV"/>
        </w:rPr>
        <w:t> </w:t>
      </w:r>
      <w:r w:rsidRPr="00F90235">
        <w:rPr>
          <w:rFonts w:eastAsia="Times New Roman" w:cs="Times New Roman"/>
          <w:sz w:val="26"/>
          <w:szCs w:val="26"/>
          <w:lang w:eastAsia="lv-LV"/>
        </w:rPr>
        <w:t>465</w:t>
      </w:r>
      <w:r w:rsidR="00E0754E">
        <w:rPr>
          <w:rFonts w:eastAsia="Times New Roman" w:cs="Times New Roman"/>
          <w:sz w:val="26"/>
          <w:szCs w:val="26"/>
          <w:lang w:eastAsia="lv-LV"/>
        </w:rPr>
        <w:t> </w:t>
      </w:r>
      <w:r w:rsidRPr="00F90235">
        <w:rPr>
          <w:rFonts w:eastAsia="Times New Roman" w:cs="Times New Roman"/>
          <w:sz w:val="26"/>
          <w:szCs w:val="26"/>
          <w:lang w:eastAsia="lv-LV"/>
        </w:rPr>
        <w:t xml:space="preserve">434.72 </w:t>
      </w:r>
      <w:r w:rsidRPr="00E0754E">
        <w:rPr>
          <w:rFonts w:eastAsia="Times New Roman" w:cs="Times New Roman"/>
          <w:i/>
          <w:iCs/>
          <w:sz w:val="26"/>
          <w:szCs w:val="26"/>
          <w:lang w:eastAsia="lv-LV"/>
        </w:rPr>
        <w:t>euro</w:t>
      </w:r>
      <w:r w:rsidRPr="00F90235">
        <w:rPr>
          <w:rFonts w:eastAsia="Times New Roman" w:cs="Times New Roman"/>
          <w:sz w:val="26"/>
          <w:szCs w:val="26"/>
          <w:lang w:eastAsia="lv-LV"/>
        </w:rPr>
        <w:t xml:space="preserve">  apmērā.</w:t>
      </w:r>
      <w:r>
        <w:rPr>
          <w:rFonts w:eastAsia="Times New Roman" w:cs="Times New Roman"/>
          <w:sz w:val="26"/>
          <w:szCs w:val="26"/>
          <w:lang w:eastAsia="lv-LV"/>
        </w:rPr>
        <w:t xml:space="preserve"> </w:t>
      </w:r>
    </w:p>
    <w:p w:rsidR="001C7DEA" w:rsidRPr="00413E02" w:rsidP="001C7DEA" w14:paraId="50769E0B" w14:textId="77777777">
      <w:pPr>
        <w:spacing w:line="240" w:lineRule="auto"/>
        <w:ind w:firstLine="540"/>
        <w:jc w:val="both"/>
        <w:rPr>
          <w:rFonts w:eastAsia="Times New Roman" w:cs="Times New Roman"/>
          <w:sz w:val="26"/>
          <w:szCs w:val="26"/>
          <w:lang w:eastAsia="lv-LV"/>
        </w:rPr>
      </w:pPr>
      <w:r w:rsidRPr="00F74234">
        <w:rPr>
          <w:rFonts w:eastAsia="Times New Roman" w:cs="Times New Roman"/>
          <w:sz w:val="26"/>
          <w:szCs w:val="26"/>
          <w:lang w:eastAsia="lv-LV"/>
        </w:rPr>
        <w:t xml:space="preserve">2025.gadā Rīgas </w:t>
      </w:r>
      <w:r w:rsidRPr="00F74234">
        <w:rPr>
          <w:rFonts w:eastAsia="Times New Roman" w:cs="Times New Roman"/>
          <w:sz w:val="26"/>
          <w:szCs w:val="26"/>
          <w:lang w:eastAsia="lv-LV"/>
        </w:rPr>
        <w:t>valstspilsētas</w:t>
      </w:r>
      <w:r w:rsidRPr="00F74234">
        <w:rPr>
          <w:rFonts w:eastAsia="Times New Roman" w:cs="Times New Roman"/>
          <w:sz w:val="26"/>
          <w:szCs w:val="26"/>
          <w:lang w:eastAsia="lv-LV"/>
        </w:rPr>
        <w:t xml:space="preserve"> pašvaldība, piesaistīja  aizņēmumus</w:t>
      </w:r>
      <w:r>
        <w:rPr>
          <w:rFonts w:eastAsia="Times New Roman" w:cs="Times New Roman"/>
          <w:sz w:val="26"/>
          <w:szCs w:val="26"/>
          <w:lang w:eastAsia="lv-LV"/>
        </w:rPr>
        <w:t xml:space="preserve"> </w:t>
      </w:r>
      <w:r w:rsidRPr="00413E02">
        <w:rPr>
          <w:rFonts w:eastAsia="Times New Roman" w:cs="Times New Roman"/>
          <w:sz w:val="26"/>
          <w:szCs w:val="26"/>
          <w:lang w:eastAsia="lv-LV"/>
        </w:rPr>
        <w:t>šādiem investīciju projektiem:</w:t>
      </w:r>
    </w:p>
    <w:p w:rsidR="001C7DEA" w:rsidRPr="004F0720" w:rsidP="001C7DEA" w14:paraId="7199FEA2" w14:textId="77777777">
      <w:pPr>
        <w:numPr>
          <w:ilvl w:val="0"/>
          <w:numId w:val="3"/>
        </w:numPr>
        <w:spacing w:line="240" w:lineRule="auto"/>
        <w:jc w:val="both"/>
        <w:rPr>
          <w:rFonts w:eastAsia="Times New Roman" w:cs="Times New Roman"/>
          <w:sz w:val="26"/>
          <w:szCs w:val="26"/>
          <w:lang w:eastAsia="lv-LV"/>
        </w:rPr>
      </w:pPr>
      <w:r w:rsidRPr="004F0720">
        <w:rPr>
          <w:rFonts w:eastAsia="Times New Roman" w:cs="Times New Roman"/>
          <w:sz w:val="26"/>
          <w:szCs w:val="26"/>
          <w:lang w:eastAsia="lv-LV"/>
        </w:rPr>
        <w:t>pirmsskolas izglītības iestāžu investīciju projektiem, mazinot bērnu rindu uz vietām pirmsskolas izglītības iestādēs,  un  pirmsskolas izglītības iestāžu infrastruktūras investīciju projektiem;</w:t>
      </w:r>
    </w:p>
    <w:p w:rsidR="001C7DEA" w:rsidRPr="004F0720" w:rsidP="001C7DEA" w14:paraId="3BCA899C" w14:textId="77777777">
      <w:pPr>
        <w:numPr>
          <w:ilvl w:val="0"/>
          <w:numId w:val="3"/>
        </w:numPr>
        <w:spacing w:line="240" w:lineRule="auto"/>
        <w:jc w:val="both"/>
        <w:rPr>
          <w:rFonts w:eastAsia="Times New Roman" w:cs="Times New Roman"/>
          <w:sz w:val="26"/>
          <w:szCs w:val="26"/>
          <w:lang w:eastAsia="lv-LV"/>
        </w:rPr>
      </w:pPr>
      <w:r w:rsidRPr="004F0720">
        <w:rPr>
          <w:rFonts w:eastAsia="Times New Roman" w:cs="Times New Roman"/>
          <w:sz w:val="26"/>
          <w:szCs w:val="26"/>
          <w:lang w:eastAsia="lv-LV"/>
        </w:rPr>
        <w:t>izglītības iestāžu investīciju projektu īstenošanai ilgtspējīgas pamatizglītības un vidējās izglītības funkcijas īstenošanai, kā arī skolu tīkla sakārtošanai;</w:t>
      </w:r>
    </w:p>
    <w:p w:rsidR="001C7DEA" w:rsidRPr="004F0720" w:rsidP="001C7DEA" w14:paraId="640DE9C8" w14:textId="77777777">
      <w:pPr>
        <w:numPr>
          <w:ilvl w:val="0"/>
          <w:numId w:val="3"/>
        </w:numPr>
        <w:spacing w:line="240" w:lineRule="auto"/>
        <w:jc w:val="both"/>
        <w:rPr>
          <w:rFonts w:eastAsia="Times New Roman" w:cs="Times New Roman"/>
          <w:sz w:val="26"/>
          <w:szCs w:val="26"/>
          <w:lang w:eastAsia="lv-LV"/>
        </w:rPr>
      </w:pPr>
      <w:r w:rsidRPr="004F0720">
        <w:rPr>
          <w:rFonts w:eastAsia="Times New Roman" w:cs="Times New Roman"/>
          <w:sz w:val="26"/>
          <w:szCs w:val="26"/>
          <w:lang w:eastAsia="lv-LV"/>
        </w:rPr>
        <w:t>ceļu būvniecības projektiem;</w:t>
      </w:r>
    </w:p>
    <w:p w:rsidR="001C7DEA" w:rsidRPr="004F0720" w:rsidP="001C7DEA" w14:paraId="04CE7BC5" w14:textId="77777777">
      <w:pPr>
        <w:numPr>
          <w:ilvl w:val="0"/>
          <w:numId w:val="3"/>
        </w:numPr>
        <w:spacing w:line="240" w:lineRule="auto"/>
        <w:jc w:val="both"/>
        <w:rPr>
          <w:rFonts w:eastAsia="Times New Roman" w:cs="Times New Roman"/>
          <w:sz w:val="26"/>
          <w:szCs w:val="26"/>
          <w:lang w:eastAsia="lv-LV"/>
        </w:rPr>
      </w:pPr>
      <w:r w:rsidRPr="004F0720">
        <w:rPr>
          <w:rFonts w:eastAsia="Times New Roman" w:cs="Times New Roman"/>
          <w:sz w:val="26"/>
          <w:szCs w:val="26"/>
          <w:lang w:eastAsia="lv-LV"/>
        </w:rPr>
        <w:t xml:space="preserve">četriem prioritārajiem investīciju projektiem: “Ēkas atjaunošana un pielāgošana sociālo pakalpojumu funkciju veikšanai Burtnieku ielā 37, Rīgā, 2.daļa”, “Uzvaras parka teritorijas II kārtas labiekārtošanas darbi Uzvaras bulvārī 15, Rīgā, 2.daļa”, "Āra sporta infrastruktūras izveide Rīgas Jaunciema pamatskolas lietojumā esošajā teritorijā Jaunciema 4. šķērslīnijā 4", “Izlases veida atjaunošanas darbi Rīgas sporta skolas “Arkādija” Rīgas sporta manēžā </w:t>
      </w:r>
      <w:r w:rsidRPr="004F0720">
        <w:rPr>
          <w:rFonts w:eastAsia="Times New Roman" w:cs="Times New Roman"/>
          <w:sz w:val="26"/>
          <w:szCs w:val="26"/>
          <w:lang w:eastAsia="lv-LV"/>
        </w:rPr>
        <w:t>Kojusalas</w:t>
      </w:r>
      <w:r w:rsidRPr="004F0720">
        <w:rPr>
          <w:rFonts w:eastAsia="Times New Roman" w:cs="Times New Roman"/>
          <w:sz w:val="26"/>
          <w:szCs w:val="26"/>
          <w:lang w:eastAsia="lv-LV"/>
        </w:rPr>
        <w:t xml:space="preserve"> ielā 9”.</w:t>
      </w:r>
    </w:p>
    <w:p w:rsidR="001C7DEA" w:rsidRPr="004F0720" w:rsidP="001C7DEA" w14:paraId="006EED71" w14:textId="77777777">
      <w:pPr>
        <w:spacing w:line="240" w:lineRule="auto"/>
        <w:ind w:firstLine="539"/>
        <w:jc w:val="both"/>
        <w:rPr>
          <w:rFonts w:eastAsia="Times New Roman" w:cs="Times New Roman"/>
          <w:sz w:val="26"/>
          <w:szCs w:val="26"/>
          <w:lang w:eastAsia="lv-LV"/>
        </w:rPr>
      </w:pPr>
      <w:r w:rsidRPr="004F0720">
        <w:rPr>
          <w:rFonts w:eastAsia="Times New Roman" w:cs="Times New Roman"/>
          <w:sz w:val="26"/>
          <w:szCs w:val="26"/>
          <w:lang w:eastAsia="lv-LV"/>
        </w:rPr>
        <w:t xml:space="preserve">Īstenojot investīciju projektus, 2025.gadā  tika piesaistīti aizņēmumu līdzekļi 95.92 milj. </w:t>
      </w:r>
      <w:r w:rsidRPr="007A14EC">
        <w:rPr>
          <w:rFonts w:eastAsia="Times New Roman" w:cs="Times New Roman"/>
          <w:i/>
          <w:iCs/>
          <w:sz w:val="26"/>
          <w:szCs w:val="26"/>
          <w:lang w:eastAsia="lv-LV"/>
        </w:rPr>
        <w:t>euro</w:t>
      </w:r>
      <w:r w:rsidRPr="004F0720">
        <w:rPr>
          <w:rFonts w:eastAsia="Times New Roman" w:cs="Times New Roman"/>
          <w:sz w:val="26"/>
          <w:szCs w:val="26"/>
          <w:lang w:eastAsia="lv-LV"/>
        </w:rPr>
        <w:t xml:space="preserve"> apmērā, no tiem Rīgas </w:t>
      </w:r>
      <w:r w:rsidRPr="004F0720">
        <w:rPr>
          <w:rFonts w:eastAsia="Times New Roman" w:cs="Times New Roman"/>
          <w:sz w:val="26"/>
          <w:szCs w:val="26"/>
          <w:lang w:eastAsia="lv-LV"/>
        </w:rPr>
        <w:t>valstspilsētas</w:t>
      </w:r>
      <w:r w:rsidRPr="004F0720">
        <w:rPr>
          <w:rFonts w:eastAsia="Times New Roman" w:cs="Times New Roman"/>
          <w:sz w:val="26"/>
          <w:szCs w:val="26"/>
          <w:lang w:eastAsia="lv-LV"/>
        </w:rPr>
        <w:t xml:space="preserve"> pašvaldības prioritāriem investīciju projektiem – 7.9</w:t>
      </w:r>
      <w:r>
        <w:rPr>
          <w:rFonts w:eastAsia="Times New Roman" w:cs="Times New Roman"/>
          <w:sz w:val="26"/>
          <w:szCs w:val="26"/>
          <w:lang w:eastAsia="lv-LV"/>
        </w:rPr>
        <w:t>5</w:t>
      </w:r>
      <w:r w:rsidRPr="004F0720">
        <w:rPr>
          <w:rFonts w:eastAsia="Times New Roman" w:cs="Times New Roman"/>
          <w:sz w:val="26"/>
          <w:szCs w:val="26"/>
          <w:lang w:eastAsia="lv-LV"/>
        </w:rPr>
        <w:t xml:space="preserve">milj. </w:t>
      </w:r>
      <w:r w:rsidRPr="007A14EC">
        <w:rPr>
          <w:rFonts w:eastAsia="Times New Roman" w:cs="Times New Roman"/>
          <w:i/>
          <w:iCs/>
          <w:sz w:val="26"/>
          <w:szCs w:val="26"/>
          <w:lang w:eastAsia="lv-LV"/>
        </w:rPr>
        <w:t>euro</w:t>
      </w:r>
      <w:r w:rsidRPr="004F0720">
        <w:rPr>
          <w:rFonts w:eastAsia="Times New Roman" w:cs="Times New Roman"/>
          <w:sz w:val="26"/>
          <w:szCs w:val="26"/>
          <w:lang w:eastAsia="lv-LV"/>
        </w:rPr>
        <w:t xml:space="preserve">. </w:t>
      </w:r>
    </w:p>
    <w:p w:rsidR="001C7DEA" w:rsidRPr="004F0720" w:rsidP="001C7DEA" w14:paraId="3A97B65B" w14:textId="07EDDAD5">
      <w:pPr>
        <w:spacing w:line="240" w:lineRule="auto"/>
        <w:ind w:firstLine="539"/>
        <w:jc w:val="both"/>
        <w:rPr>
          <w:rFonts w:eastAsia="Times New Roman" w:cs="Times New Roman"/>
          <w:sz w:val="26"/>
          <w:szCs w:val="26"/>
          <w:lang w:eastAsia="lv-LV"/>
        </w:rPr>
      </w:pPr>
      <w:r w:rsidRPr="004F0720">
        <w:rPr>
          <w:rFonts w:eastAsia="Times New Roman" w:cs="Times New Roman"/>
          <w:sz w:val="26"/>
          <w:szCs w:val="26"/>
          <w:lang w:eastAsia="lv-LV"/>
        </w:rPr>
        <w:t>2025.gadā tika turpināta projekta “Satiksmes pārvads no Tvaika ielas uz Kundziņsalu” īstenošana, noslēdzot ar Valsts kasi jaunu  aizdevuma līgumu 35</w:t>
      </w:r>
      <w:r w:rsidR="0030223D">
        <w:rPr>
          <w:rFonts w:eastAsia="Times New Roman" w:cs="Times New Roman"/>
          <w:sz w:val="26"/>
          <w:szCs w:val="26"/>
          <w:lang w:eastAsia="lv-LV"/>
        </w:rPr>
        <w:t> </w:t>
      </w:r>
      <w:r w:rsidRPr="004F0720">
        <w:rPr>
          <w:rFonts w:eastAsia="Times New Roman" w:cs="Times New Roman"/>
          <w:sz w:val="26"/>
          <w:szCs w:val="26"/>
          <w:lang w:eastAsia="lv-LV"/>
        </w:rPr>
        <w:t>985</w:t>
      </w:r>
      <w:r w:rsidR="0030223D">
        <w:rPr>
          <w:rFonts w:eastAsia="Times New Roman" w:cs="Times New Roman"/>
          <w:sz w:val="26"/>
          <w:szCs w:val="26"/>
          <w:lang w:eastAsia="lv-LV"/>
        </w:rPr>
        <w:t> </w:t>
      </w:r>
      <w:r w:rsidRPr="004F0720">
        <w:rPr>
          <w:rFonts w:eastAsia="Times New Roman" w:cs="Times New Roman"/>
          <w:sz w:val="26"/>
          <w:szCs w:val="26"/>
          <w:lang w:eastAsia="lv-LV"/>
        </w:rPr>
        <w:t xml:space="preserve">972 </w:t>
      </w:r>
      <w:r w:rsidRPr="00E0754E">
        <w:rPr>
          <w:rFonts w:eastAsia="Times New Roman" w:cs="Times New Roman"/>
          <w:i/>
          <w:iCs/>
          <w:sz w:val="26"/>
          <w:szCs w:val="26"/>
          <w:lang w:eastAsia="lv-LV"/>
        </w:rPr>
        <w:t>euro</w:t>
      </w:r>
      <w:r w:rsidRPr="004F0720">
        <w:rPr>
          <w:rFonts w:eastAsia="Times New Roman" w:cs="Times New Roman"/>
          <w:sz w:val="26"/>
          <w:szCs w:val="26"/>
          <w:lang w:eastAsia="lv-LV"/>
        </w:rPr>
        <w:t xml:space="preserve"> apmērā ar aizdevuma atmaksu 30 gadu laikā.  2025.gadā projekta finansēšanā tika piesaistīts aizņēmums 20 877 645.95 </w:t>
      </w:r>
      <w:r w:rsidRPr="00E0754E">
        <w:rPr>
          <w:rFonts w:eastAsia="Times New Roman" w:cs="Times New Roman"/>
          <w:i/>
          <w:iCs/>
          <w:sz w:val="26"/>
          <w:szCs w:val="26"/>
          <w:lang w:eastAsia="lv-LV"/>
        </w:rPr>
        <w:t>euro</w:t>
      </w:r>
      <w:r w:rsidRPr="004F0720">
        <w:rPr>
          <w:rFonts w:eastAsia="Times New Roman" w:cs="Times New Roman"/>
          <w:sz w:val="26"/>
          <w:szCs w:val="26"/>
          <w:lang w:eastAsia="lv-LV"/>
        </w:rPr>
        <w:t xml:space="preserve"> apmērā.</w:t>
      </w:r>
    </w:p>
    <w:p w:rsidR="001C7DEA" w:rsidRPr="004F0720" w:rsidP="001C7DEA" w14:paraId="693BA4A3" w14:textId="74C853D6">
      <w:pPr>
        <w:spacing w:line="240" w:lineRule="auto"/>
        <w:ind w:firstLine="540"/>
        <w:jc w:val="both"/>
        <w:rPr>
          <w:rFonts w:eastAsia="Times New Roman" w:cs="Times New Roman"/>
          <w:sz w:val="26"/>
          <w:szCs w:val="26"/>
          <w:lang w:eastAsia="lv-LV"/>
        </w:rPr>
      </w:pPr>
      <w:bookmarkStart w:id="1" w:name="_Hlk95992409"/>
      <w:r w:rsidRPr="004F0720">
        <w:rPr>
          <w:rFonts w:eastAsia="Times New Roman" w:cs="Times New Roman"/>
          <w:sz w:val="26"/>
          <w:szCs w:val="26"/>
          <w:lang w:eastAsia="lv-LV"/>
        </w:rPr>
        <w:t xml:space="preserve">2025.gadā pašvaldībai banku un Valsts kases aizdevumu saistību (bez Dienvidu tilta saistībām) apkalpošana - </w:t>
      </w:r>
      <w:r>
        <w:rPr>
          <w:rFonts w:eastAsia="Times New Roman" w:cs="Times New Roman"/>
          <w:sz w:val="26"/>
          <w:szCs w:val="26"/>
          <w:lang w:eastAsia="lv-LV"/>
        </w:rPr>
        <w:t xml:space="preserve">procentu </w:t>
      </w:r>
      <w:r w:rsidRPr="004F0720">
        <w:rPr>
          <w:rFonts w:eastAsia="Times New Roman" w:cs="Times New Roman"/>
          <w:sz w:val="26"/>
          <w:szCs w:val="26"/>
          <w:lang w:eastAsia="lv-LV"/>
        </w:rPr>
        <w:t xml:space="preserve">un aizņēmumu apkalpošanas izdevumi, izmaksāja 12 652 100.67 </w:t>
      </w:r>
      <w:r w:rsidRPr="007A14EC">
        <w:rPr>
          <w:rFonts w:eastAsia="Times New Roman" w:cs="Times New Roman"/>
          <w:i/>
          <w:iCs/>
          <w:sz w:val="26"/>
          <w:szCs w:val="26"/>
          <w:lang w:eastAsia="lv-LV"/>
        </w:rPr>
        <w:t>euro</w:t>
      </w:r>
      <w:r w:rsidRPr="004F0720">
        <w:rPr>
          <w:rFonts w:eastAsia="Times New Roman" w:cs="Times New Roman"/>
          <w:sz w:val="26"/>
          <w:szCs w:val="26"/>
          <w:lang w:eastAsia="lv-LV"/>
        </w:rPr>
        <w:t>, savukārt, 2024.gadā šie izdevumi bija 10</w:t>
      </w:r>
      <w:r w:rsidR="00025A02">
        <w:rPr>
          <w:rFonts w:eastAsia="Times New Roman" w:cs="Times New Roman"/>
          <w:sz w:val="26"/>
          <w:szCs w:val="26"/>
          <w:lang w:eastAsia="lv-LV"/>
        </w:rPr>
        <w:t> </w:t>
      </w:r>
      <w:r w:rsidRPr="004F0720">
        <w:rPr>
          <w:rFonts w:eastAsia="Times New Roman" w:cs="Times New Roman"/>
          <w:sz w:val="26"/>
          <w:szCs w:val="26"/>
          <w:lang w:eastAsia="lv-LV"/>
        </w:rPr>
        <w:t>943</w:t>
      </w:r>
      <w:r w:rsidR="00025A02">
        <w:rPr>
          <w:rFonts w:eastAsia="Times New Roman" w:cs="Times New Roman"/>
          <w:sz w:val="26"/>
          <w:szCs w:val="26"/>
          <w:lang w:eastAsia="lv-LV"/>
        </w:rPr>
        <w:t> </w:t>
      </w:r>
      <w:r w:rsidRPr="004F0720">
        <w:rPr>
          <w:rFonts w:eastAsia="Times New Roman" w:cs="Times New Roman"/>
          <w:sz w:val="26"/>
          <w:szCs w:val="26"/>
          <w:lang w:eastAsia="lv-LV"/>
        </w:rPr>
        <w:t>247.61</w:t>
      </w:r>
      <w:r w:rsidR="007A14EC">
        <w:rPr>
          <w:rFonts w:eastAsia="Times New Roman" w:cs="Times New Roman"/>
          <w:sz w:val="26"/>
          <w:szCs w:val="26"/>
          <w:lang w:eastAsia="lv-LV"/>
        </w:rPr>
        <w:t xml:space="preserve"> </w:t>
      </w:r>
      <w:r w:rsidRPr="007A14EC">
        <w:rPr>
          <w:rFonts w:eastAsia="Times New Roman" w:cs="Times New Roman"/>
          <w:i/>
          <w:iCs/>
          <w:sz w:val="26"/>
          <w:szCs w:val="26"/>
          <w:lang w:eastAsia="lv-LV"/>
        </w:rPr>
        <w:t>euro</w:t>
      </w:r>
      <w:r w:rsidRPr="004F0720">
        <w:rPr>
          <w:rFonts w:eastAsia="Times New Roman" w:cs="Times New Roman"/>
          <w:sz w:val="26"/>
          <w:szCs w:val="26"/>
          <w:lang w:eastAsia="lv-LV"/>
        </w:rPr>
        <w:t xml:space="preserve">. 2025.gada saistību maksājumu pieaugumu ietekmēja iepriekšējos gados piesaistītie aizņēmumi, kuriem likmes tika fiksētas augsto </w:t>
      </w:r>
      <w:r w:rsidRPr="004F0720">
        <w:rPr>
          <w:rFonts w:eastAsia="Times New Roman" w:cs="Times New Roman"/>
          <w:sz w:val="26"/>
          <w:szCs w:val="26"/>
          <w:lang w:eastAsia="lv-LV"/>
        </w:rPr>
        <w:t>procentlikmju</w:t>
      </w:r>
      <w:r w:rsidRPr="004F0720">
        <w:rPr>
          <w:rFonts w:eastAsia="Times New Roman" w:cs="Times New Roman"/>
          <w:sz w:val="26"/>
          <w:szCs w:val="26"/>
          <w:lang w:eastAsia="lv-LV"/>
        </w:rPr>
        <w:t xml:space="preserve"> periodā, kā arī 2025.gada jaunās aizņemšanās, piesaistot finanšu resursus vēsturiski augstākajā apjomā- 137.4</w:t>
      </w:r>
      <w:r>
        <w:rPr>
          <w:rFonts w:eastAsia="Times New Roman" w:cs="Times New Roman"/>
          <w:sz w:val="26"/>
          <w:szCs w:val="26"/>
          <w:lang w:eastAsia="lv-LV"/>
        </w:rPr>
        <w:t>8</w:t>
      </w:r>
      <w:r w:rsidRPr="004F0720">
        <w:rPr>
          <w:rFonts w:eastAsia="Times New Roman" w:cs="Times New Roman"/>
          <w:sz w:val="26"/>
          <w:szCs w:val="26"/>
          <w:lang w:eastAsia="lv-LV"/>
        </w:rPr>
        <w:t xml:space="preserve"> milj. </w:t>
      </w:r>
      <w:r w:rsidRPr="004F0720">
        <w:rPr>
          <w:rFonts w:eastAsia="Times New Roman" w:cs="Times New Roman"/>
          <w:sz w:val="26"/>
          <w:szCs w:val="26"/>
          <w:lang w:eastAsia="lv-LV"/>
        </w:rPr>
        <w:t>euro</w:t>
      </w:r>
      <w:r w:rsidRPr="004F0720">
        <w:rPr>
          <w:rFonts w:eastAsia="Times New Roman" w:cs="Times New Roman"/>
          <w:sz w:val="26"/>
          <w:szCs w:val="26"/>
          <w:lang w:eastAsia="lv-LV"/>
        </w:rPr>
        <w:t xml:space="preserve"> apmērā. Salīdzinoši 2023.gadā tika piesaistīti aizņēmumu līdzekļi  68.34 milj. </w:t>
      </w:r>
      <w:r w:rsidRPr="007A14EC">
        <w:rPr>
          <w:rFonts w:eastAsia="Times New Roman" w:cs="Times New Roman"/>
          <w:i/>
          <w:iCs/>
          <w:sz w:val="26"/>
          <w:szCs w:val="26"/>
          <w:lang w:eastAsia="lv-LV"/>
        </w:rPr>
        <w:t>euro</w:t>
      </w:r>
      <w:r w:rsidRPr="004F0720">
        <w:rPr>
          <w:rFonts w:eastAsia="Times New Roman" w:cs="Times New Roman"/>
          <w:sz w:val="26"/>
          <w:szCs w:val="26"/>
          <w:lang w:eastAsia="lv-LV"/>
        </w:rPr>
        <w:t xml:space="preserve">  un 2024.gadā -</w:t>
      </w:r>
      <w:r w:rsidRPr="004F0720">
        <w:rPr>
          <w:rFonts w:eastAsia="Times New Roman" w:cs="Times New Roman"/>
          <w:sz w:val="26"/>
          <w:szCs w:val="26"/>
          <w:lang w:eastAsia="lv-LV"/>
        </w:rPr>
        <w:tab/>
        <w:t xml:space="preserve"> 78.34 milj. </w:t>
      </w:r>
      <w:r w:rsidRPr="007A14EC">
        <w:rPr>
          <w:rFonts w:eastAsia="Times New Roman" w:cs="Times New Roman"/>
          <w:i/>
          <w:iCs/>
          <w:sz w:val="26"/>
          <w:szCs w:val="26"/>
          <w:lang w:eastAsia="lv-LV"/>
        </w:rPr>
        <w:t>euro</w:t>
      </w:r>
      <w:r w:rsidRPr="004F0720">
        <w:rPr>
          <w:rFonts w:eastAsia="Times New Roman" w:cs="Times New Roman"/>
          <w:sz w:val="26"/>
          <w:szCs w:val="26"/>
          <w:lang w:eastAsia="lv-LV"/>
        </w:rPr>
        <w:t xml:space="preserve"> apmērā. Papildus ir jāņem vērā  finansiāli ietilpīgo projektu - “Jāņa Čakstes gatves izbūve” un  “Satiksmes pārvads no Tvaika ielas uz Kundziņsalu” jauno  aizņēmumu fiksētā 30 gadu resursu cena, kura sastāda   4.036%.</w:t>
      </w:r>
    </w:p>
    <w:bookmarkEnd w:id="1"/>
    <w:p w:rsidR="001C7DEA" w:rsidRPr="004F0720" w:rsidP="001C7DEA" w14:paraId="3027F5E1" w14:textId="77777777">
      <w:pPr>
        <w:spacing w:line="240" w:lineRule="auto"/>
        <w:ind w:firstLine="539"/>
        <w:jc w:val="both"/>
        <w:rPr>
          <w:rFonts w:eastAsia="Times New Roman" w:cs="Times New Roman"/>
          <w:sz w:val="26"/>
          <w:szCs w:val="26"/>
          <w:lang w:eastAsia="lv-LV"/>
        </w:rPr>
      </w:pPr>
      <w:r w:rsidRPr="004F0720">
        <w:rPr>
          <w:rFonts w:eastAsia="Times New Roman" w:cs="Times New Roman"/>
          <w:sz w:val="26"/>
          <w:szCs w:val="26"/>
          <w:lang w:eastAsia="lv-LV"/>
        </w:rPr>
        <w:t xml:space="preserve">Uz 2025.gada beigām 5.83% no aizņēmumu saistību kopapjoma bija Dienvidu tilta būvniecības finansēšanas saistības. Finansējuma līgumi  (EUR daļas līgumi) par </w:t>
      </w:r>
      <w:bookmarkStart w:id="2" w:name="_Hlk188535275"/>
      <w:r w:rsidRPr="004F0720">
        <w:rPr>
          <w:rFonts w:eastAsia="Times New Roman" w:cs="Times New Roman"/>
          <w:sz w:val="26"/>
          <w:szCs w:val="26"/>
          <w:lang w:eastAsia="lv-LV"/>
        </w:rPr>
        <w:t xml:space="preserve">Dienvidu tilta </w:t>
      </w:r>
      <w:bookmarkEnd w:id="2"/>
      <w:r w:rsidRPr="004F0720">
        <w:rPr>
          <w:rFonts w:eastAsia="Times New Roman" w:cs="Times New Roman"/>
          <w:sz w:val="26"/>
          <w:szCs w:val="26"/>
          <w:lang w:eastAsia="lv-LV"/>
        </w:rPr>
        <w:t xml:space="preserve">1. un 2.kārtas būvniecību tika noslēgti 2005.-2007.gadā, finansēšanas modelī  paredzot fiksētas procentu likmes 6.28-6.49% apmērā, kuras bija atbilstošas tā laika finanšu tirgu situācijai,  un ir spēkā līdz  saistību atmaksas termiņu beigām. </w:t>
      </w:r>
    </w:p>
    <w:p w:rsidR="001C7DEA" w:rsidRPr="004F0720" w:rsidP="001C7DEA" w14:paraId="08108B76" w14:textId="77777777">
      <w:pPr>
        <w:spacing w:line="240" w:lineRule="auto"/>
        <w:ind w:firstLine="539"/>
        <w:jc w:val="both"/>
        <w:rPr>
          <w:rFonts w:eastAsia="Times New Roman" w:cs="Times New Roman"/>
          <w:sz w:val="26"/>
          <w:szCs w:val="26"/>
          <w:lang w:eastAsia="lv-LV"/>
        </w:rPr>
      </w:pPr>
      <w:r w:rsidRPr="004F0720">
        <w:rPr>
          <w:rFonts w:eastAsia="Times New Roman" w:cs="Times New Roman"/>
          <w:sz w:val="26"/>
          <w:szCs w:val="26"/>
          <w:lang w:eastAsia="lv-LV"/>
        </w:rPr>
        <w:t xml:space="preserve">2025. gadā pašvaldība pilnībā atmaksāja Dienvidu tilta 1. kārtas saistības, savukārt Dienvidu tilta 2. kārtas saistības tiks atmaksātas līdz 2027.gada 15.jūnijam, palielinot pašvaldības potenciālās iespējas uzņemties jaunas saistības Eiropas Savienības fondu līdzfinansēto projektu un investīciju projektu finansēšanai. </w:t>
      </w:r>
    </w:p>
    <w:p w:rsidR="001C7DEA" w:rsidRPr="004F0720" w:rsidP="001C7DEA" w14:paraId="7DC2F5B8" w14:textId="77777777">
      <w:pPr>
        <w:spacing w:line="240" w:lineRule="auto"/>
        <w:ind w:firstLine="539"/>
        <w:jc w:val="both"/>
        <w:rPr>
          <w:rFonts w:eastAsia="Times New Roman" w:cs="Times New Roman"/>
          <w:sz w:val="26"/>
          <w:szCs w:val="26"/>
          <w:lang w:eastAsia="lv-LV"/>
        </w:rPr>
      </w:pPr>
      <w:r w:rsidRPr="004F0720">
        <w:rPr>
          <w:rFonts w:eastAsia="Times New Roman" w:cs="Times New Roman"/>
          <w:sz w:val="26"/>
          <w:szCs w:val="26"/>
          <w:lang w:eastAsia="lv-LV"/>
        </w:rPr>
        <w:t>2025.gadā vidējā svērtā procentu likme kopējām aizņēmumu saistībām, ieskaitot Dienvidu tilta saistības, 2025.gadā bija  2.99%.</w:t>
      </w:r>
    </w:p>
    <w:p w:rsidR="00E548A3" w:rsidP="001C7DEA" w14:paraId="48596F89" w14:textId="77777777">
      <w:pPr>
        <w:spacing w:line="240" w:lineRule="auto"/>
        <w:ind w:firstLine="539"/>
        <w:jc w:val="both"/>
        <w:rPr>
          <w:rFonts w:eastAsia="Times New Roman" w:cs="Times New Roman"/>
          <w:b/>
          <w:bCs/>
          <w:sz w:val="26"/>
          <w:szCs w:val="26"/>
          <w:lang w:eastAsia="lv-LV"/>
        </w:rPr>
      </w:pPr>
    </w:p>
    <w:p w:rsidR="00E1603F" w:rsidP="001C7DEA" w14:paraId="5CDBD2F1" w14:textId="77777777">
      <w:pPr>
        <w:spacing w:line="240" w:lineRule="auto"/>
        <w:ind w:firstLine="539"/>
        <w:jc w:val="both"/>
        <w:rPr>
          <w:rFonts w:eastAsia="Times New Roman" w:cs="Times New Roman"/>
          <w:b/>
          <w:bCs/>
          <w:sz w:val="26"/>
          <w:szCs w:val="26"/>
          <w:lang w:eastAsia="lv-LV"/>
        </w:rPr>
      </w:pPr>
    </w:p>
    <w:p w:rsidR="00E1603F" w:rsidP="001C7DEA" w14:paraId="25D1B5B8" w14:textId="77777777">
      <w:pPr>
        <w:spacing w:line="240" w:lineRule="auto"/>
        <w:ind w:firstLine="539"/>
        <w:jc w:val="both"/>
        <w:rPr>
          <w:rFonts w:eastAsia="Times New Roman" w:cs="Times New Roman"/>
          <w:b/>
          <w:bCs/>
          <w:sz w:val="26"/>
          <w:szCs w:val="26"/>
          <w:lang w:eastAsia="lv-LV"/>
        </w:rPr>
      </w:pPr>
    </w:p>
    <w:p w:rsidR="00E1603F" w:rsidP="001C7DEA" w14:paraId="1363E073" w14:textId="77777777">
      <w:pPr>
        <w:spacing w:line="240" w:lineRule="auto"/>
        <w:ind w:firstLine="539"/>
        <w:jc w:val="both"/>
        <w:rPr>
          <w:rFonts w:eastAsia="Times New Roman" w:cs="Times New Roman"/>
          <w:b/>
          <w:bCs/>
          <w:sz w:val="26"/>
          <w:szCs w:val="26"/>
          <w:lang w:eastAsia="lv-LV"/>
        </w:rPr>
      </w:pPr>
    </w:p>
    <w:p w:rsidR="001C7DEA" w:rsidRPr="004F0720" w:rsidP="001C7DEA" w14:paraId="67AB5936" w14:textId="63D8F692">
      <w:pPr>
        <w:spacing w:line="240" w:lineRule="auto"/>
        <w:ind w:firstLine="539"/>
        <w:jc w:val="both"/>
        <w:rPr>
          <w:rFonts w:eastAsia="Times New Roman" w:cs="Times New Roman"/>
          <w:sz w:val="26"/>
          <w:szCs w:val="26"/>
          <w:lang w:eastAsia="lv-LV"/>
        </w:rPr>
      </w:pPr>
      <w:r w:rsidRPr="004F0720">
        <w:rPr>
          <w:rFonts w:eastAsia="Times New Roman" w:cs="Times New Roman"/>
          <w:b/>
          <w:bCs/>
          <w:sz w:val="26"/>
          <w:szCs w:val="26"/>
          <w:lang w:eastAsia="lv-LV"/>
        </w:rPr>
        <w:t>Vidējās svērtās procentu likmes 2015-2025</w:t>
      </w:r>
    </w:p>
    <w:tbl>
      <w:tblPr>
        <w:tblpPr w:leftFromText="180" w:rightFromText="180" w:vertAnchor="page" w:horzAnchor="margin" w:tblpY="6811"/>
        <w:tblW w:w="9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36"/>
        <w:gridCol w:w="771"/>
        <w:gridCol w:w="681"/>
        <w:gridCol w:w="681"/>
        <w:gridCol w:w="771"/>
        <w:gridCol w:w="771"/>
        <w:gridCol w:w="771"/>
        <w:gridCol w:w="771"/>
        <w:gridCol w:w="771"/>
        <w:gridCol w:w="771"/>
        <w:gridCol w:w="833"/>
        <w:gridCol w:w="733"/>
      </w:tblGrid>
      <w:tr w14:paraId="4790A797" w14:textId="77777777" w:rsidTr="00D61CD1">
        <w:tblPrEx>
          <w:tblW w:w="9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58"/>
        </w:trPr>
        <w:tc>
          <w:tcPr>
            <w:tcW w:w="1236" w:type="dxa"/>
          </w:tcPr>
          <w:p w:rsidR="001C7DEA" w:rsidRPr="004F0720" w:rsidP="00D61CD1" w14:paraId="338A57D7" w14:textId="77777777">
            <w:pPr>
              <w:spacing w:line="240" w:lineRule="auto"/>
              <w:jc w:val="both"/>
              <w:rPr>
                <w:rFonts w:eastAsia="Times New Roman" w:cs="Times New Roman"/>
                <w:sz w:val="18"/>
                <w:szCs w:val="18"/>
                <w:lang w:eastAsia="lv-LV"/>
              </w:rPr>
            </w:pPr>
          </w:p>
        </w:tc>
        <w:tc>
          <w:tcPr>
            <w:tcW w:w="771" w:type="dxa"/>
          </w:tcPr>
          <w:p w:rsidR="001C7DEA" w:rsidRPr="004F0720" w:rsidP="00D61CD1" w14:paraId="5D58AA2C" w14:textId="77777777">
            <w:pPr>
              <w:spacing w:line="240" w:lineRule="auto"/>
              <w:jc w:val="both"/>
              <w:rPr>
                <w:rFonts w:eastAsia="Times New Roman" w:cs="Times New Roman"/>
                <w:b/>
                <w:sz w:val="18"/>
                <w:szCs w:val="18"/>
                <w:lang w:eastAsia="lv-LV"/>
              </w:rPr>
            </w:pPr>
            <w:r w:rsidRPr="004F0720">
              <w:rPr>
                <w:rFonts w:eastAsia="Times New Roman" w:cs="Times New Roman"/>
                <w:b/>
                <w:sz w:val="18"/>
                <w:szCs w:val="18"/>
                <w:lang w:eastAsia="lv-LV"/>
              </w:rPr>
              <w:t>2015</w:t>
            </w:r>
          </w:p>
        </w:tc>
        <w:tc>
          <w:tcPr>
            <w:tcW w:w="681" w:type="dxa"/>
          </w:tcPr>
          <w:p w:rsidR="001C7DEA" w:rsidRPr="004F0720" w:rsidP="00D61CD1" w14:paraId="2D85365F" w14:textId="77777777">
            <w:pPr>
              <w:spacing w:line="240" w:lineRule="auto"/>
              <w:jc w:val="both"/>
              <w:rPr>
                <w:rFonts w:eastAsia="Times New Roman" w:cs="Times New Roman"/>
                <w:b/>
                <w:sz w:val="18"/>
                <w:szCs w:val="18"/>
                <w:lang w:eastAsia="lv-LV"/>
              </w:rPr>
            </w:pPr>
            <w:r w:rsidRPr="004F0720">
              <w:rPr>
                <w:rFonts w:eastAsia="Times New Roman" w:cs="Times New Roman"/>
                <w:b/>
                <w:sz w:val="18"/>
                <w:szCs w:val="18"/>
                <w:lang w:eastAsia="lv-LV"/>
              </w:rPr>
              <w:t>2016</w:t>
            </w:r>
          </w:p>
        </w:tc>
        <w:tc>
          <w:tcPr>
            <w:tcW w:w="681" w:type="dxa"/>
          </w:tcPr>
          <w:p w:rsidR="001C7DEA" w:rsidRPr="004F0720" w:rsidP="00D61CD1" w14:paraId="6A83B2ED" w14:textId="77777777">
            <w:pPr>
              <w:spacing w:line="240" w:lineRule="auto"/>
              <w:jc w:val="both"/>
              <w:rPr>
                <w:rFonts w:eastAsia="Times New Roman" w:cs="Times New Roman"/>
                <w:b/>
                <w:sz w:val="18"/>
                <w:szCs w:val="18"/>
                <w:lang w:eastAsia="lv-LV"/>
              </w:rPr>
            </w:pPr>
            <w:r w:rsidRPr="004F0720">
              <w:rPr>
                <w:rFonts w:eastAsia="Times New Roman" w:cs="Times New Roman"/>
                <w:b/>
                <w:sz w:val="18"/>
                <w:szCs w:val="18"/>
                <w:lang w:eastAsia="lv-LV"/>
              </w:rPr>
              <w:t>2017</w:t>
            </w:r>
          </w:p>
        </w:tc>
        <w:tc>
          <w:tcPr>
            <w:tcW w:w="771" w:type="dxa"/>
          </w:tcPr>
          <w:p w:rsidR="001C7DEA" w:rsidRPr="004F0720" w:rsidP="00D61CD1" w14:paraId="597414D3" w14:textId="77777777">
            <w:pPr>
              <w:spacing w:line="240" w:lineRule="auto"/>
              <w:jc w:val="both"/>
              <w:rPr>
                <w:rFonts w:eastAsia="Times New Roman" w:cs="Times New Roman"/>
                <w:b/>
                <w:sz w:val="18"/>
                <w:szCs w:val="18"/>
                <w:lang w:eastAsia="lv-LV"/>
              </w:rPr>
            </w:pPr>
            <w:r w:rsidRPr="004F0720">
              <w:rPr>
                <w:rFonts w:eastAsia="Times New Roman" w:cs="Times New Roman"/>
                <w:b/>
                <w:sz w:val="18"/>
                <w:szCs w:val="18"/>
                <w:lang w:eastAsia="lv-LV"/>
              </w:rPr>
              <w:t>2018</w:t>
            </w:r>
          </w:p>
        </w:tc>
        <w:tc>
          <w:tcPr>
            <w:tcW w:w="771" w:type="dxa"/>
          </w:tcPr>
          <w:p w:rsidR="001C7DEA" w:rsidRPr="004F0720" w:rsidP="00D61CD1" w14:paraId="554FBD9D" w14:textId="77777777">
            <w:pPr>
              <w:spacing w:line="240" w:lineRule="auto"/>
              <w:jc w:val="both"/>
              <w:rPr>
                <w:rFonts w:eastAsia="Times New Roman" w:cs="Times New Roman"/>
                <w:b/>
                <w:sz w:val="18"/>
                <w:szCs w:val="18"/>
                <w:lang w:eastAsia="lv-LV"/>
              </w:rPr>
            </w:pPr>
            <w:r w:rsidRPr="004F0720">
              <w:rPr>
                <w:rFonts w:eastAsia="Times New Roman" w:cs="Times New Roman"/>
                <w:b/>
                <w:sz w:val="18"/>
                <w:szCs w:val="18"/>
                <w:lang w:eastAsia="lv-LV"/>
              </w:rPr>
              <w:t>2019</w:t>
            </w:r>
          </w:p>
        </w:tc>
        <w:tc>
          <w:tcPr>
            <w:tcW w:w="771" w:type="dxa"/>
          </w:tcPr>
          <w:p w:rsidR="001C7DEA" w:rsidRPr="004F0720" w:rsidP="00D61CD1" w14:paraId="6F2A1D81" w14:textId="77777777">
            <w:pPr>
              <w:spacing w:line="240" w:lineRule="auto"/>
              <w:jc w:val="both"/>
              <w:rPr>
                <w:rFonts w:eastAsia="Times New Roman" w:cs="Times New Roman"/>
                <w:b/>
                <w:sz w:val="18"/>
                <w:szCs w:val="18"/>
                <w:lang w:eastAsia="lv-LV"/>
              </w:rPr>
            </w:pPr>
            <w:r w:rsidRPr="004F0720">
              <w:rPr>
                <w:rFonts w:eastAsia="Times New Roman" w:cs="Times New Roman"/>
                <w:b/>
                <w:sz w:val="18"/>
                <w:szCs w:val="18"/>
                <w:lang w:eastAsia="lv-LV"/>
              </w:rPr>
              <w:t>2020</w:t>
            </w:r>
          </w:p>
        </w:tc>
        <w:tc>
          <w:tcPr>
            <w:tcW w:w="771" w:type="dxa"/>
          </w:tcPr>
          <w:p w:rsidR="001C7DEA" w:rsidRPr="004F0720" w:rsidP="00D61CD1" w14:paraId="3DBAC62A" w14:textId="77777777">
            <w:pPr>
              <w:spacing w:line="240" w:lineRule="auto"/>
              <w:jc w:val="both"/>
              <w:rPr>
                <w:rFonts w:eastAsia="Times New Roman" w:cs="Times New Roman"/>
                <w:b/>
                <w:sz w:val="18"/>
                <w:szCs w:val="18"/>
                <w:lang w:eastAsia="lv-LV"/>
              </w:rPr>
            </w:pPr>
            <w:r w:rsidRPr="004F0720">
              <w:rPr>
                <w:rFonts w:eastAsia="Times New Roman" w:cs="Times New Roman"/>
                <w:b/>
                <w:sz w:val="18"/>
                <w:szCs w:val="18"/>
                <w:lang w:eastAsia="lv-LV"/>
              </w:rPr>
              <w:t>2021</w:t>
            </w:r>
          </w:p>
        </w:tc>
        <w:tc>
          <w:tcPr>
            <w:tcW w:w="771" w:type="dxa"/>
          </w:tcPr>
          <w:p w:rsidR="001C7DEA" w:rsidRPr="004F0720" w:rsidP="00D61CD1" w14:paraId="41510D1A" w14:textId="77777777">
            <w:pPr>
              <w:spacing w:line="240" w:lineRule="auto"/>
              <w:jc w:val="both"/>
              <w:rPr>
                <w:rFonts w:eastAsia="Times New Roman" w:cs="Times New Roman"/>
                <w:b/>
                <w:sz w:val="18"/>
                <w:szCs w:val="18"/>
                <w:lang w:eastAsia="lv-LV"/>
              </w:rPr>
            </w:pPr>
            <w:r w:rsidRPr="004F0720">
              <w:rPr>
                <w:rFonts w:eastAsia="Times New Roman" w:cs="Times New Roman"/>
                <w:b/>
                <w:sz w:val="18"/>
                <w:szCs w:val="18"/>
                <w:lang w:eastAsia="lv-LV"/>
              </w:rPr>
              <w:t>2022</w:t>
            </w:r>
          </w:p>
        </w:tc>
        <w:tc>
          <w:tcPr>
            <w:tcW w:w="771" w:type="dxa"/>
          </w:tcPr>
          <w:p w:rsidR="001C7DEA" w:rsidRPr="004F0720" w:rsidP="00D61CD1" w14:paraId="5D708219" w14:textId="77777777">
            <w:pPr>
              <w:spacing w:line="240" w:lineRule="auto"/>
              <w:jc w:val="both"/>
              <w:rPr>
                <w:rFonts w:eastAsia="Times New Roman" w:cs="Times New Roman"/>
                <w:b/>
                <w:sz w:val="18"/>
                <w:szCs w:val="18"/>
                <w:lang w:eastAsia="lv-LV"/>
              </w:rPr>
            </w:pPr>
            <w:r w:rsidRPr="004F0720">
              <w:rPr>
                <w:rFonts w:eastAsia="Times New Roman" w:cs="Times New Roman"/>
                <w:b/>
                <w:sz w:val="18"/>
                <w:szCs w:val="18"/>
                <w:lang w:eastAsia="lv-LV"/>
              </w:rPr>
              <w:t>2023</w:t>
            </w:r>
          </w:p>
        </w:tc>
        <w:tc>
          <w:tcPr>
            <w:tcW w:w="833" w:type="dxa"/>
          </w:tcPr>
          <w:p w:rsidR="001C7DEA" w:rsidRPr="004F0720" w:rsidP="00D61CD1" w14:paraId="403BE940" w14:textId="77777777">
            <w:pPr>
              <w:spacing w:line="240" w:lineRule="auto"/>
              <w:jc w:val="both"/>
              <w:rPr>
                <w:rFonts w:eastAsia="Times New Roman" w:cs="Times New Roman"/>
                <w:b/>
                <w:sz w:val="18"/>
                <w:szCs w:val="18"/>
                <w:lang w:eastAsia="lv-LV"/>
              </w:rPr>
            </w:pPr>
            <w:r w:rsidRPr="004F0720">
              <w:rPr>
                <w:rFonts w:eastAsia="Times New Roman" w:cs="Times New Roman"/>
                <w:b/>
                <w:sz w:val="18"/>
                <w:szCs w:val="18"/>
                <w:lang w:eastAsia="lv-LV"/>
              </w:rPr>
              <w:t>2024</w:t>
            </w:r>
          </w:p>
        </w:tc>
        <w:tc>
          <w:tcPr>
            <w:tcW w:w="733" w:type="dxa"/>
          </w:tcPr>
          <w:p w:rsidR="001C7DEA" w:rsidRPr="004F0720" w:rsidP="00D61CD1" w14:paraId="557012DE" w14:textId="77777777">
            <w:pPr>
              <w:spacing w:line="240" w:lineRule="auto"/>
              <w:jc w:val="both"/>
              <w:rPr>
                <w:rFonts w:eastAsia="Times New Roman" w:cs="Times New Roman"/>
                <w:b/>
                <w:sz w:val="18"/>
                <w:szCs w:val="18"/>
                <w:lang w:eastAsia="lv-LV"/>
              </w:rPr>
            </w:pPr>
            <w:r w:rsidRPr="004F0720">
              <w:rPr>
                <w:rFonts w:eastAsia="Times New Roman" w:cs="Times New Roman"/>
                <w:b/>
                <w:sz w:val="18"/>
                <w:szCs w:val="18"/>
                <w:lang w:eastAsia="lv-LV"/>
              </w:rPr>
              <w:t>2025</w:t>
            </w:r>
          </w:p>
        </w:tc>
      </w:tr>
      <w:tr w14:paraId="4A9D9D54" w14:textId="77777777" w:rsidTr="00D61CD1">
        <w:tblPrEx>
          <w:tblW w:w="9561" w:type="dxa"/>
          <w:tblLayout w:type="fixed"/>
          <w:tblLook w:val="04A0"/>
        </w:tblPrEx>
        <w:tc>
          <w:tcPr>
            <w:tcW w:w="1236" w:type="dxa"/>
          </w:tcPr>
          <w:p w:rsidR="001C7DEA" w:rsidRPr="004F0720" w:rsidP="00D61CD1" w14:paraId="137A16A3"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Vidējā svērtā % likme aizņēmumiem (bez Dienvidu tilta saistībām)</w:t>
            </w:r>
          </w:p>
        </w:tc>
        <w:tc>
          <w:tcPr>
            <w:tcW w:w="771" w:type="dxa"/>
          </w:tcPr>
          <w:p w:rsidR="001C7DEA" w:rsidRPr="004F0720" w:rsidP="00D61CD1" w14:paraId="4DC32954"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0.509%</w:t>
            </w:r>
          </w:p>
        </w:tc>
        <w:tc>
          <w:tcPr>
            <w:tcW w:w="681" w:type="dxa"/>
          </w:tcPr>
          <w:p w:rsidR="001C7DEA" w:rsidRPr="004F0720" w:rsidP="00D61CD1" w14:paraId="53156B9C"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0.4%</w:t>
            </w:r>
          </w:p>
          <w:p w:rsidR="001C7DEA" w:rsidRPr="004F0720" w:rsidP="00D61CD1" w14:paraId="77CE0F51" w14:textId="77777777">
            <w:pPr>
              <w:spacing w:line="240" w:lineRule="auto"/>
              <w:jc w:val="both"/>
              <w:rPr>
                <w:rFonts w:eastAsia="Times New Roman" w:cs="Times New Roman"/>
                <w:sz w:val="18"/>
                <w:szCs w:val="18"/>
                <w:lang w:eastAsia="lv-LV"/>
              </w:rPr>
            </w:pPr>
          </w:p>
        </w:tc>
        <w:tc>
          <w:tcPr>
            <w:tcW w:w="681" w:type="dxa"/>
          </w:tcPr>
          <w:p w:rsidR="001C7DEA" w:rsidRPr="004F0720" w:rsidP="00D61CD1" w14:paraId="372E99DA"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0.45%</w:t>
            </w:r>
          </w:p>
        </w:tc>
        <w:tc>
          <w:tcPr>
            <w:tcW w:w="771" w:type="dxa"/>
          </w:tcPr>
          <w:p w:rsidR="001C7DEA" w:rsidRPr="004F0720" w:rsidP="00D61CD1" w14:paraId="11D10AC1"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0.434%</w:t>
            </w:r>
          </w:p>
        </w:tc>
        <w:tc>
          <w:tcPr>
            <w:tcW w:w="771" w:type="dxa"/>
          </w:tcPr>
          <w:p w:rsidR="001C7DEA" w:rsidRPr="004F0720" w:rsidP="00D61CD1" w14:paraId="1B963754"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0.502%</w:t>
            </w:r>
          </w:p>
        </w:tc>
        <w:tc>
          <w:tcPr>
            <w:tcW w:w="771" w:type="dxa"/>
          </w:tcPr>
          <w:p w:rsidR="001C7DEA" w:rsidRPr="004F0720" w:rsidP="00D61CD1" w14:paraId="6CD5413E"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0.49%</w:t>
            </w:r>
          </w:p>
        </w:tc>
        <w:tc>
          <w:tcPr>
            <w:tcW w:w="771" w:type="dxa"/>
          </w:tcPr>
          <w:p w:rsidR="001C7DEA" w:rsidRPr="004F0720" w:rsidP="00D61CD1" w14:paraId="4C34DC69"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0.493%</w:t>
            </w:r>
          </w:p>
        </w:tc>
        <w:tc>
          <w:tcPr>
            <w:tcW w:w="771" w:type="dxa"/>
          </w:tcPr>
          <w:p w:rsidR="001C7DEA" w:rsidRPr="004F0720" w:rsidP="00D61CD1" w14:paraId="22F88FC6"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1.798%</w:t>
            </w:r>
          </w:p>
        </w:tc>
        <w:tc>
          <w:tcPr>
            <w:tcW w:w="771" w:type="dxa"/>
          </w:tcPr>
          <w:p w:rsidR="001C7DEA" w:rsidRPr="004F0720" w:rsidP="00D61CD1" w14:paraId="34B05A6C"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2.613%</w:t>
            </w:r>
          </w:p>
        </w:tc>
        <w:tc>
          <w:tcPr>
            <w:tcW w:w="833" w:type="dxa"/>
          </w:tcPr>
          <w:p w:rsidR="001C7DEA" w:rsidRPr="004F0720" w:rsidP="00D61CD1" w14:paraId="6C89C39D"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2.580%</w:t>
            </w:r>
          </w:p>
        </w:tc>
        <w:tc>
          <w:tcPr>
            <w:tcW w:w="733" w:type="dxa"/>
          </w:tcPr>
          <w:p w:rsidR="001C7DEA" w:rsidRPr="004F0720" w:rsidP="00D61CD1" w14:paraId="7C224AD4"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2.77%</w:t>
            </w:r>
          </w:p>
        </w:tc>
      </w:tr>
      <w:tr w14:paraId="2BC9C651" w14:textId="77777777" w:rsidTr="00D61CD1">
        <w:tblPrEx>
          <w:tblW w:w="9561" w:type="dxa"/>
          <w:tblLayout w:type="fixed"/>
          <w:tblLook w:val="04A0"/>
        </w:tblPrEx>
        <w:trPr>
          <w:trHeight w:val="462"/>
        </w:trPr>
        <w:tc>
          <w:tcPr>
            <w:tcW w:w="1236" w:type="dxa"/>
          </w:tcPr>
          <w:p w:rsidR="001C7DEA" w:rsidRPr="004F0720" w:rsidP="00D61CD1" w14:paraId="1BA9722A"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Vidējā svērtā % likme ilgtermiņa saistībām kopā</w:t>
            </w:r>
          </w:p>
        </w:tc>
        <w:tc>
          <w:tcPr>
            <w:tcW w:w="771" w:type="dxa"/>
          </w:tcPr>
          <w:p w:rsidR="001C7DEA" w:rsidRPr="004F0720" w:rsidP="00D61CD1" w14:paraId="4E8D7625"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4.13%</w:t>
            </w:r>
          </w:p>
        </w:tc>
        <w:tc>
          <w:tcPr>
            <w:tcW w:w="681" w:type="dxa"/>
          </w:tcPr>
          <w:p w:rsidR="001C7DEA" w:rsidRPr="004F0720" w:rsidP="00D61CD1" w14:paraId="23FA4ED2"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3.97%</w:t>
            </w:r>
          </w:p>
        </w:tc>
        <w:tc>
          <w:tcPr>
            <w:tcW w:w="681" w:type="dxa"/>
          </w:tcPr>
          <w:p w:rsidR="001C7DEA" w:rsidRPr="004F0720" w:rsidP="00D61CD1" w14:paraId="54AE9EE9"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3.62%</w:t>
            </w:r>
          </w:p>
        </w:tc>
        <w:tc>
          <w:tcPr>
            <w:tcW w:w="771" w:type="dxa"/>
          </w:tcPr>
          <w:p w:rsidR="001C7DEA" w:rsidRPr="004F0720" w:rsidP="00D61CD1" w14:paraId="4A133B91"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3.366%</w:t>
            </w:r>
          </w:p>
        </w:tc>
        <w:tc>
          <w:tcPr>
            <w:tcW w:w="771" w:type="dxa"/>
          </w:tcPr>
          <w:p w:rsidR="001C7DEA" w:rsidRPr="004F0720" w:rsidP="00D61CD1" w14:paraId="5EE10B3B"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3.11%</w:t>
            </w:r>
          </w:p>
        </w:tc>
        <w:tc>
          <w:tcPr>
            <w:tcW w:w="771" w:type="dxa"/>
          </w:tcPr>
          <w:p w:rsidR="001C7DEA" w:rsidRPr="004F0720" w:rsidP="00D61CD1" w14:paraId="7A78C34D"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2.798%</w:t>
            </w:r>
          </w:p>
        </w:tc>
        <w:tc>
          <w:tcPr>
            <w:tcW w:w="771" w:type="dxa"/>
          </w:tcPr>
          <w:p w:rsidR="001C7DEA" w:rsidRPr="004F0720" w:rsidP="00D61CD1" w14:paraId="05E95E42"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2.434%</w:t>
            </w:r>
          </w:p>
        </w:tc>
        <w:tc>
          <w:tcPr>
            <w:tcW w:w="771" w:type="dxa"/>
          </w:tcPr>
          <w:p w:rsidR="001C7DEA" w:rsidRPr="004F0720" w:rsidP="00D61CD1" w14:paraId="64D1B210"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3.033%</w:t>
            </w:r>
          </w:p>
        </w:tc>
        <w:tc>
          <w:tcPr>
            <w:tcW w:w="771" w:type="dxa"/>
          </w:tcPr>
          <w:p w:rsidR="001C7DEA" w:rsidRPr="004F0720" w:rsidP="00D61CD1" w14:paraId="5BA8F078" w14:textId="77777777">
            <w:pPr>
              <w:spacing w:line="240" w:lineRule="auto"/>
              <w:jc w:val="both"/>
              <w:rPr>
                <w:rFonts w:eastAsia="Times New Roman" w:cs="Times New Roman"/>
                <w:sz w:val="18"/>
                <w:szCs w:val="18"/>
                <w:lang w:eastAsia="lv-LV"/>
              </w:rPr>
            </w:pPr>
            <w:r w:rsidRPr="004F0720">
              <w:rPr>
                <w:rFonts w:eastAsia="Times New Roman" w:cs="Times New Roman"/>
                <w:sz w:val="18"/>
                <w:szCs w:val="18"/>
                <w:lang w:eastAsia="lv-LV"/>
              </w:rPr>
              <w:t>3.362%</w:t>
            </w:r>
          </w:p>
        </w:tc>
        <w:tc>
          <w:tcPr>
            <w:tcW w:w="833" w:type="dxa"/>
          </w:tcPr>
          <w:p w:rsidR="001C7DEA" w:rsidRPr="004F0720" w:rsidP="00D61CD1" w14:paraId="7B1E1191" w14:textId="77777777">
            <w:pPr>
              <w:spacing w:line="240" w:lineRule="auto"/>
              <w:jc w:val="both"/>
              <w:rPr>
                <w:rFonts w:eastAsia="Times New Roman" w:cs="Times New Roman"/>
                <w:sz w:val="18"/>
                <w:szCs w:val="18"/>
                <w:lang w:eastAsia="lv-LV"/>
              </w:rPr>
            </w:pPr>
            <w:r w:rsidRPr="004F0720">
              <w:rPr>
                <w:sz w:val="18"/>
                <w:szCs w:val="18"/>
              </w:rPr>
              <w:t>3.071%</w:t>
            </w:r>
          </w:p>
        </w:tc>
        <w:tc>
          <w:tcPr>
            <w:tcW w:w="733" w:type="dxa"/>
          </w:tcPr>
          <w:p w:rsidR="001C7DEA" w:rsidRPr="004F0720" w:rsidP="00D61CD1" w14:paraId="4B94F00B" w14:textId="77777777">
            <w:pPr>
              <w:spacing w:line="240" w:lineRule="auto"/>
              <w:jc w:val="both"/>
              <w:rPr>
                <w:sz w:val="18"/>
                <w:szCs w:val="18"/>
              </w:rPr>
            </w:pPr>
            <w:r w:rsidRPr="004F0720">
              <w:rPr>
                <w:sz w:val="18"/>
                <w:szCs w:val="18"/>
              </w:rPr>
              <w:t>2.99%</w:t>
            </w:r>
          </w:p>
        </w:tc>
      </w:tr>
    </w:tbl>
    <w:p w:rsidR="001C7DEA" w:rsidRPr="004F0720" w:rsidP="001C7DEA" w14:paraId="76C9CF9D" w14:textId="65540EE1">
      <w:pPr>
        <w:spacing w:line="240" w:lineRule="auto"/>
        <w:ind w:firstLine="539"/>
        <w:jc w:val="both"/>
        <w:rPr>
          <w:rFonts w:eastAsia="Times New Roman" w:cs="Times New Roman"/>
          <w:sz w:val="26"/>
          <w:szCs w:val="26"/>
          <w:lang w:eastAsia="lv-LV"/>
        </w:rPr>
      </w:pPr>
      <w:r w:rsidRPr="004F0720">
        <w:rPr>
          <w:rFonts w:eastAsia="Times New Roman" w:cs="Times New Roman"/>
          <w:sz w:val="26"/>
          <w:szCs w:val="26"/>
          <w:lang w:eastAsia="lv-LV"/>
        </w:rPr>
        <w:t xml:space="preserve">Atbilstoši normatīvo aktu regulējumam, Valsts kases izsniegtās valsts aizdevuma  procentu likmes var tikt pārskatītas ne biežāk kā vienu reizi divos gados, sākot ar otro izsniegtā valsts aizdevuma līguma darbības gadu, ja starpība starp iepriekš noteikto aizdevuma procentu likmi un to likmi, kas tiek piemērota valsts aizdevumiem, ir lielāka par 0.8%, un atlikušais termiņš līdz aizdevuma atmaksas beigu termiņam pārsniedz 2 gadus. </w:t>
      </w:r>
    </w:p>
    <w:p w:rsidR="001C7DEA" w:rsidRPr="004F0720" w:rsidP="001C7DEA" w14:paraId="372EB119" w14:textId="77777777">
      <w:pPr>
        <w:spacing w:line="240" w:lineRule="auto"/>
        <w:ind w:firstLine="539"/>
        <w:jc w:val="both"/>
        <w:rPr>
          <w:rFonts w:eastAsia="Times New Roman" w:cs="Times New Roman"/>
          <w:sz w:val="26"/>
          <w:szCs w:val="26"/>
          <w:lang w:eastAsia="lv-LV"/>
        </w:rPr>
      </w:pPr>
      <w:r w:rsidRPr="004F0720">
        <w:rPr>
          <w:rFonts w:eastAsia="Times New Roman" w:cs="Times New Roman"/>
          <w:sz w:val="26"/>
          <w:szCs w:val="26"/>
          <w:lang w:eastAsia="lv-LV"/>
        </w:rPr>
        <w:t xml:space="preserve">Tā kā pēdējos divos gados vērojama aizdevuma  procentu likmju samazināšanās tendence,  Rīgas </w:t>
      </w:r>
      <w:r w:rsidRPr="004F0720">
        <w:rPr>
          <w:rFonts w:eastAsia="Times New Roman" w:cs="Times New Roman"/>
          <w:sz w:val="26"/>
          <w:szCs w:val="26"/>
          <w:lang w:eastAsia="lv-LV"/>
        </w:rPr>
        <w:t>valstspilsētas</w:t>
      </w:r>
      <w:r w:rsidRPr="004F0720">
        <w:rPr>
          <w:rFonts w:eastAsia="Times New Roman" w:cs="Times New Roman"/>
          <w:sz w:val="26"/>
          <w:szCs w:val="26"/>
          <w:lang w:eastAsia="lv-LV"/>
        </w:rPr>
        <w:t xml:space="preserve"> pašvaldība, 2026.gadā un   turpmākajos gados, pārskatīs noslēgto aizdevumu līgumu likmes, pārjaunojot esošos aizdevuma līgumus uz izdevīgākiem nosacījumiem.</w:t>
      </w:r>
    </w:p>
    <w:bookmarkEnd w:id="0"/>
    <w:p w:rsidR="001C7DEA" w:rsidRPr="004F0720" w:rsidP="001C7DEA" w14:paraId="154CD7B0" w14:textId="77777777">
      <w:pPr>
        <w:spacing w:line="240" w:lineRule="auto"/>
        <w:ind w:firstLine="720"/>
        <w:jc w:val="both"/>
        <w:rPr>
          <w:rFonts w:eastAsia="Times New Roman" w:cs="Times New Roman"/>
          <w:sz w:val="26"/>
          <w:szCs w:val="26"/>
          <w:lang w:eastAsia="lv-LV"/>
        </w:rPr>
      </w:pPr>
      <w:r w:rsidRPr="004F0720">
        <w:rPr>
          <w:rFonts w:eastAsia="Times New Roman" w:cs="Times New Roman"/>
          <w:sz w:val="26"/>
          <w:szCs w:val="26"/>
          <w:lang w:eastAsia="lv-LV"/>
        </w:rPr>
        <w:t>Ilgtermiņa saistību portfeļa procentu likmju vidējais svērtais fiksētais  periods 2025.gada 31.decembrī bija 10.16 gadi, kas atbilst stratēģijā noteiktajam pieļaujamam līmenim - ne mazāk par 2.5 gadiem.</w:t>
      </w:r>
    </w:p>
    <w:p w:rsidR="001C7DEA" w:rsidRPr="004F0720" w:rsidP="001C7DEA" w14:paraId="3FFB38FA" w14:textId="77777777">
      <w:pPr>
        <w:spacing w:line="240" w:lineRule="auto"/>
        <w:ind w:firstLine="539"/>
        <w:jc w:val="both"/>
        <w:rPr>
          <w:rFonts w:eastAsia="Times New Roman" w:cs="Times New Roman"/>
          <w:sz w:val="26"/>
          <w:szCs w:val="26"/>
          <w:lang w:eastAsia="lv-LV"/>
        </w:rPr>
      </w:pPr>
      <w:r w:rsidRPr="004F0720">
        <w:rPr>
          <w:rFonts w:eastAsia="Times New Roman" w:cs="Times New Roman"/>
          <w:sz w:val="26"/>
          <w:szCs w:val="26"/>
          <w:lang w:eastAsia="lv-LV"/>
        </w:rPr>
        <w:t>Sabalansēts pašvaldības saistību portfelis, ievērojot Pašvaldības aizņēmumu, galvojumu un citu ilgtermiņa saistību vadības stratēģijā noteikto mainīgo un fiksēto likmju līdzsvaru, kā arī citus saistību portfeļa rādītājus, stabilizē  likmju pieauguma  ietekmi uz pašvaldības budžeta izdevumiem, nodrošina pašvaldības aizņēmumu kritēriju izpildi, kā arī  iespēju piesaistīt jaunus aizņēmumus.</w:t>
      </w:r>
    </w:p>
    <w:p w:rsidR="001C7DEA" w:rsidRPr="004F0720" w:rsidP="001C7DEA" w14:paraId="23C5B7F2" w14:textId="77777777">
      <w:pPr>
        <w:spacing w:line="240" w:lineRule="auto"/>
        <w:ind w:firstLine="720"/>
        <w:jc w:val="both"/>
        <w:rPr>
          <w:rFonts w:eastAsia="Times New Roman" w:cs="Times New Roman"/>
          <w:sz w:val="26"/>
          <w:szCs w:val="26"/>
          <w:lang w:eastAsia="lv-LV"/>
        </w:rPr>
      </w:pPr>
    </w:p>
    <w:p w:rsidR="001C7DEA" w:rsidRPr="004F0720" w:rsidP="001C7DEA" w14:paraId="732E92AE" w14:textId="77777777">
      <w:pPr>
        <w:tabs>
          <w:tab w:val="center" w:pos="567"/>
        </w:tabs>
        <w:spacing w:line="240" w:lineRule="auto"/>
        <w:jc w:val="both"/>
        <w:outlineLvl w:val="0"/>
        <w:rPr>
          <w:rFonts w:eastAsia="Times New Roman" w:cs="Times New Roman"/>
          <w:b/>
          <w:sz w:val="26"/>
          <w:szCs w:val="26"/>
          <w:lang w:eastAsia="lv-LV"/>
        </w:rPr>
      </w:pPr>
      <w:bookmarkStart w:id="3" w:name="_Hlk127188054"/>
      <w:r w:rsidRPr="004F0720">
        <w:rPr>
          <w:rFonts w:eastAsia="Times New Roman" w:cs="Times New Roman"/>
          <w:b/>
          <w:sz w:val="26"/>
          <w:szCs w:val="26"/>
          <w:lang w:eastAsia="lv-LV"/>
        </w:rPr>
        <w:t>Likviditātes risks</w:t>
      </w:r>
      <w:r w:rsidRPr="004F0720">
        <w:rPr>
          <w:rFonts w:eastAsia="Times New Roman" w:cs="Times New Roman"/>
          <w:b/>
          <w:sz w:val="26"/>
          <w:szCs w:val="26"/>
          <w:lang w:eastAsia="lv-LV"/>
        </w:rPr>
        <w:tab/>
      </w:r>
    </w:p>
    <w:bookmarkEnd w:id="3"/>
    <w:p w:rsidR="001C7DEA" w:rsidRPr="004F0720" w:rsidP="001C7DEA" w14:paraId="5CBE2042" w14:textId="77777777">
      <w:pPr>
        <w:spacing w:line="240" w:lineRule="auto"/>
        <w:ind w:firstLine="540"/>
        <w:jc w:val="both"/>
        <w:rPr>
          <w:rFonts w:eastAsia="Calibri" w:cs="Times New Roman"/>
          <w:sz w:val="26"/>
          <w:szCs w:val="26"/>
          <w:lang w:eastAsia="lv-LV"/>
        </w:rPr>
      </w:pPr>
      <w:r w:rsidRPr="004F0720">
        <w:rPr>
          <w:rFonts w:eastAsia="Calibri" w:cs="Times New Roman"/>
          <w:sz w:val="26"/>
          <w:szCs w:val="26"/>
          <w:lang w:eastAsia="lv-LV"/>
        </w:rPr>
        <w:t xml:space="preserve">Pamatojoties uz Rīgas </w:t>
      </w:r>
      <w:r w:rsidRPr="004F0720">
        <w:rPr>
          <w:rFonts w:eastAsia="Calibri" w:cs="Times New Roman"/>
          <w:sz w:val="26"/>
          <w:szCs w:val="26"/>
          <w:lang w:eastAsia="lv-LV"/>
        </w:rPr>
        <w:t>valstspilsētas</w:t>
      </w:r>
      <w:r w:rsidRPr="004F0720">
        <w:rPr>
          <w:rFonts w:eastAsia="Calibri" w:cs="Times New Roman"/>
          <w:sz w:val="26"/>
          <w:szCs w:val="26"/>
          <w:lang w:eastAsia="lv-LV"/>
        </w:rPr>
        <w:t xml:space="preserve"> pašvaldības ilgtermiņa saistību stratēģijā noteikto nepieciešamību nodrošināt finanšu resursu pietiekamību, kas jebkurā laikā ļauj veikt pašvaldības budžetā apstiprināto izdevumu izpildi, Rīgas </w:t>
      </w:r>
      <w:r w:rsidRPr="004F0720">
        <w:rPr>
          <w:rFonts w:eastAsia="Calibri" w:cs="Times New Roman"/>
          <w:sz w:val="26"/>
          <w:szCs w:val="26"/>
          <w:lang w:eastAsia="lv-LV"/>
        </w:rPr>
        <w:t>valstspilsētas</w:t>
      </w:r>
      <w:r w:rsidRPr="004F0720">
        <w:rPr>
          <w:rFonts w:eastAsia="Calibri" w:cs="Times New Roman"/>
          <w:sz w:val="26"/>
          <w:szCs w:val="26"/>
          <w:lang w:eastAsia="lv-LV"/>
        </w:rPr>
        <w:t xml:space="preserve"> pašvaldība ir veikusi  šādas darbības:</w:t>
      </w:r>
    </w:p>
    <w:p w:rsidR="001C7DEA" w:rsidRPr="004F0720" w:rsidP="001C7DEA" w14:paraId="04E87858" w14:textId="77777777">
      <w:pPr>
        <w:spacing w:line="240" w:lineRule="auto"/>
        <w:ind w:firstLine="540"/>
        <w:jc w:val="both"/>
        <w:rPr>
          <w:rFonts w:eastAsia="Calibri" w:cs="Times New Roman"/>
          <w:sz w:val="26"/>
          <w:szCs w:val="26"/>
          <w:lang w:eastAsia="lv-LV"/>
        </w:rPr>
      </w:pPr>
      <w:r w:rsidRPr="004F0720">
        <w:rPr>
          <w:rFonts w:eastAsia="Calibri" w:cs="Times New Roman"/>
          <w:sz w:val="26"/>
          <w:szCs w:val="26"/>
          <w:lang w:eastAsia="lv-LV"/>
        </w:rPr>
        <w:t xml:space="preserve">1. Ņemot vērā finansēšanas nepieciešamību un situāciju finanšu tirgos, Rīgas </w:t>
      </w:r>
      <w:r w:rsidRPr="004F0720">
        <w:rPr>
          <w:rFonts w:eastAsia="Calibri" w:cs="Times New Roman"/>
          <w:sz w:val="26"/>
          <w:szCs w:val="26"/>
          <w:lang w:eastAsia="lv-LV"/>
        </w:rPr>
        <w:t>valstspilsētas</w:t>
      </w:r>
      <w:r w:rsidRPr="004F0720">
        <w:rPr>
          <w:rFonts w:eastAsia="Calibri" w:cs="Times New Roman"/>
          <w:sz w:val="26"/>
          <w:szCs w:val="26"/>
          <w:lang w:eastAsia="lv-LV"/>
        </w:rPr>
        <w:t xml:space="preserve"> pašvaldība 2025.gadā:</w:t>
      </w:r>
    </w:p>
    <w:p w:rsidR="001C7DEA" w:rsidRPr="004F0720" w:rsidP="001C7DEA" w14:paraId="655D7ED0" w14:textId="77777777">
      <w:pPr>
        <w:pStyle w:val="ListParagraph"/>
        <w:numPr>
          <w:ilvl w:val="0"/>
          <w:numId w:val="8"/>
        </w:numPr>
        <w:jc w:val="both"/>
        <w:rPr>
          <w:rFonts w:ascii="Times New Roman" w:hAnsi="Times New Roman" w:cs="Times New Roman"/>
          <w:sz w:val="26"/>
          <w:szCs w:val="26"/>
        </w:rPr>
      </w:pPr>
      <w:r w:rsidRPr="004F0720">
        <w:rPr>
          <w:rFonts w:ascii="Times New Roman" w:hAnsi="Times New Roman" w:cs="Times New Roman"/>
          <w:sz w:val="26"/>
          <w:szCs w:val="26"/>
        </w:rPr>
        <w:t>ir nodrošinājusi nepieciešamo likvīdo naudas līdzekļu apjomu budžeta izdevumu nodrošināšanai;</w:t>
      </w:r>
    </w:p>
    <w:p w:rsidR="001C7DEA" w:rsidRPr="004F0720" w:rsidP="001C7DEA" w14:paraId="4ED6F044" w14:textId="77777777">
      <w:pPr>
        <w:pStyle w:val="ListParagraph"/>
        <w:numPr>
          <w:ilvl w:val="0"/>
          <w:numId w:val="8"/>
        </w:numPr>
        <w:jc w:val="both"/>
        <w:rPr>
          <w:rFonts w:ascii="Times New Roman" w:hAnsi="Times New Roman" w:cs="Times New Roman"/>
          <w:sz w:val="26"/>
          <w:szCs w:val="26"/>
        </w:rPr>
      </w:pPr>
      <w:r w:rsidRPr="004F0720">
        <w:rPr>
          <w:rFonts w:ascii="Times New Roman" w:hAnsi="Times New Roman" w:cs="Times New Roman"/>
          <w:sz w:val="26"/>
          <w:szCs w:val="26"/>
        </w:rPr>
        <w:t>ir uzturējusi nepieciešamo likvīdo naudas līdzekļu rezervi  tekošā gada un turpmāko gadu saistību segšanai.</w:t>
      </w:r>
    </w:p>
    <w:p w:rsidR="001C7DEA" w:rsidRPr="004F0720" w:rsidP="001C7DEA" w14:paraId="26CC4077" w14:textId="77777777">
      <w:pPr>
        <w:spacing w:line="240" w:lineRule="auto"/>
        <w:ind w:firstLine="540"/>
        <w:jc w:val="both"/>
        <w:rPr>
          <w:rFonts w:eastAsia="Calibri" w:cs="Times New Roman"/>
          <w:sz w:val="26"/>
          <w:szCs w:val="26"/>
          <w:lang w:eastAsia="lv-LV"/>
        </w:rPr>
      </w:pPr>
      <w:r w:rsidRPr="004F0720">
        <w:rPr>
          <w:rFonts w:eastAsia="Calibri" w:cs="Times New Roman"/>
          <w:sz w:val="26"/>
          <w:szCs w:val="26"/>
          <w:lang w:eastAsia="lv-LV"/>
        </w:rPr>
        <w:t>Visu gadu tika uzturēta laba likviditātes pozīcija. Vidējais mēneša naudas līdzekļu atlikums 2025.gadā bija 134</w:t>
      </w:r>
      <w:r>
        <w:rPr>
          <w:rFonts w:eastAsia="Calibri" w:cs="Times New Roman"/>
          <w:sz w:val="26"/>
          <w:szCs w:val="26"/>
          <w:lang w:eastAsia="lv-LV"/>
        </w:rPr>
        <w:t>.</w:t>
      </w:r>
      <w:r w:rsidRPr="004F0720">
        <w:rPr>
          <w:rFonts w:eastAsia="Calibri" w:cs="Times New Roman"/>
          <w:sz w:val="26"/>
          <w:szCs w:val="26"/>
          <w:lang w:eastAsia="lv-LV"/>
        </w:rPr>
        <w:t xml:space="preserve">1 milj. </w:t>
      </w:r>
      <w:r w:rsidRPr="0074228B">
        <w:rPr>
          <w:rFonts w:eastAsia="Calibri" w:cs="Times New Roman"/>
          <w:i/>
          <w:iCs/>
          <w:sz w:val="26"/>
          <w:szCs w:val="26"/>
          <w:lang w:eastAsia="lv-LV"/>
        </w:rPr>
        <w:t>euro</w:t>
      </w:r>
      <w:r w:rsidRPr="004F0720">
        <w:rPr>
          <w:rFonts w:eastAsia="Calibri" w:cs="Times New Roman"/>
          <w:sz w:val="26"/>
          <w:szCs w:val="26"/>
          <w:lang w:eastAsia="lv-LV"/>
        </w:rPr>
        <w:t xml:space="preserve">, kas radīja papildu drošību par Rīgas pilsētas pašvaldības spēju segt savas saistības. </w:t>
      </w:r>
    </w:p>
    <w:p w:rsidR="001C7DEA" w:rsidRPr="004F0720" w:rsidP="001C7DEA" w14:paraId="04D1CDF5" w14:textId="77777777">
      <w:pPr>
        <w:spacing w:line="240" w:lineRule="auto"/>
        <w:ind w:firstLine="540"/>
        <w:jc w:val="both"/>
        <w:rPr>
          <w:rFonts w:eastAsia="Calibri" w:cs="Times New Roman"/>
          <w:sz w:val="26"/>
          <w:szCs w:val="26"/>
          <w:lang w:eastAsia="lv-LV"/>
        </w:rPr>
      </w:pPr>
      <w:r w:rsidRPr="004F0720">
        <w:rPr>
          <w:rFonts w:eastAsia="Calibri" w:cs="Times New Roman"/>
          <w:sz w:val="26"/>
          <w:szCs w:val="26"/>
          <w:lang w:eastAsia="lv-LV"/>
        </w:rPr>
        <w:t xml:space="preserve">2025.gada beigās Rīgas </w:t>
      </w:r>
      <w:r w:rsidRPr="004F0720">
        <w:rPr>
          <w:rFonts w:eastAsia="Calibri" w:cs="Times New Roman"/>
          <w:sz w:val="26"/>
          <w:szCs w:val="26"/>
          <w:lang w:eastAsia="lv-LV"/>
        </w:rPr>
        <w:t>valstspilsētas</w:t>
      </w:r>
      <w:r w:rsidRPr="004F0720">
        <w:rPr>
          <w:rFonts w:eastAsia="Calibri" w:cs="Times New Roman"/>
          <w:sz w:val="26"/>
          <w:szCs w:val="26"/>
          <w:lang w:eastAsia="lv-LV"/>
        </w:rPr>
        <w:t xml:space="preserve"> pašvaldības kontos pieejamo resursu atlikums veidoja 127,8 milj. </w:t>
      </w:r>
      <w:r w:rsidRPr="0074228B">
        <w:rPr>
          <w:rFonts w:eastAsia="Calibri" w:cs="Times New Roman"/>
          <w:i/>
          <w:iCs/>
          <w:sz w:val="26"/>
          <w:szCs w:val="26"/>
          <w:lang w:eastAsia="lv-LV"/>
        </w:rPr>
        <w:t>euro</w:t>
      </w:r>
      <w:r w:rsidRPr="004F0720">
        <w:rPr>
          <w:rFonts w:eastAsia="Calibri" w:cs="Times New Roman"/>
          <w:sz w:val="26"/>
          <w:szCs w:val="26"/>
          <w:lang w:eastAsia="lv-LV"/>
        </w:rPr>
        <w:t xml:space="preserve">. </w:t>
      </w:r>
    </w:p>
    <w:p w:rsidR="001C7DEA" w:rsidRPr="004F0720" w:rsidP="001C7DEA" w14:paraId="7FD6D05F" w14:textId="77777777">
      <w:pPr>
        <w:spacing w:line="240" w:lineRule="auto"/>
        <w:ind w:firstLine="540"/>
        <w:jc w:val="both"/>
        <w:rPr>
          <w:rFonts w:eastAsia="Calibri" w:cs="Times New Roman"/>
          <w:sz w:val="26"/>
          <w:szCs w:val="26"/>
          <w:lang w:eastAsia="lv-LV"/>
        </w:rPr>
      </w:pPr>
      <w:r w:rsidRPr="004F0720">
        <w:rPr>
          <w:rFonts w:eastAsia="Calibri" w:cs="Times New Roman"/>
          <w:sz w:val="26"/>
          <w:szCs w:val="26"/>
          <w:lang w:eastAsia="lv-LV"/>
        </w:rPr>
        <w:t xml:space="preserve">Pašvaldības norēķinu kontu atlikumiem kredītiestādes piemēro procentu likmes saskaņā ar noslēgtajiem kontu apkalpošanas līgumiem. </w:t>
      </w:r>
    </w:p>
    <w:p w:rsidR="001C7DEA" w:rsidRPr="004F0720" w:rsidP="001C7DEA" w14:paraId="6F04B855" w14:textId="77777777">
      <w:pPr>
        <w:spacing w:line="240" w:lineRule="auto"/>
        <w:ind w:firstLine="540"/>
        <w:jc w:val="both"/>
        <w:rPr>
          <w:rFonts w:eastAsia="Calibri" w:cs="Times New Roman"/>
          <w:sz w:val="26"/>
          <w:szCs w:val="26"/>
          <w:lang w:eastAsia="lv-LV"/>
        </w:rPr>
      </w:pPr>
      <w:r w:rsidRPr="004F0720">
        <w:rPr>
          <w:rFonts w:eastAsia="Calibri" w:cs="Times New Roman"/>
          <w:sz w:val="26"/>
          <w:szCs w:val="26"/>
          <w:lang w:eastAsia="lv-LV"/>
        </w:rPr>
        <w:t xml:space="preserve">2025.gadā  saņemtie ienākumi no bankām par kontu atlikumiem bija  </w:t>
      </w:r>
      <w:r>
        <w:rPr>
          <w:rFonts w:eastAsia="Calibri" w:cs="Times New Roman"/>
          <w:sz w:val="26"/>
          <w:szCs w:val="26"/>
          <w:lang w:eastAsia="lv-LV"/>
        </w:rPr>
        <w:t xml:space="preserve">2.06 </w:t>
      </w:r>
      <w:r w:rsidRPr="004F0720">
        <w:rPr>
          <w:rFonts w:eastAsia="Calibri" w:cs="Times New Roman"/>
          <w:sz w:val="26"/>
          <w:szCs w:val="26"/>
          <w:lang w:eastAsia="lv-LV"/>
        </w:rPr>
        <w:t xml:space="preserve">milj. </w:t>
      </w:r>
      <w:r w:rsidRPr="0074228B">
        <w:rPr>
          <w:rFonts w:eastAsia="Calibri" w:cs="Times New Roman"/>
          <w:i/>
          <w:iCs/>
          <w:sz w:val="26"/>
          <w:szCs w:val="26"/>
          <w:lang w:eastAsia="lv-LV"/>
        </w:rPr>
        <w:t>euro</w:t>
      </w:r>
      <w:r w:rsidRPr="004F0720">
        <w:rPr>
          <w:rFonts w:eastAsia="Calibri" w:cs="Times New Roman"/>
          <w:sz w:val="26"/>
          <w:szCs w:val="26"/>
          <w:lang w:eastAsia="lv-LV"/>
        </w:rPr>
        <w:t>.</w:t>
      </w:r>
    </w:p>
    <w:p w:rsidR="001C7DEA" w:rsidRPr="004F0720" w:rsidP="001C7DEA" w14:paraId="23207D68" w14:textId="5F47108B">
      <w:pPr>
        <w:spacing w:line="240" w:lineRule="auto"/>
        <w:ind w:firstLine="540"/>
        <w:jc w:val="both"/>
        <w:rPr>
          <w:rFonts w:eastAsia="Calibri" w:cs="Times New Roman"/>
          <w:sz w:val="26"/>
          <w:szCs w:val="26"/>
          <w:lang w:eastAsia="lv-LV"/>
        </w:rPr>
      </w:pPr>
      <w:r w:rsidRPr="004F0720">
        <w:rPr>
          <w:rFonts w:eastAsia="Calibri" w:cs="Times New Roman"/>
          <w:sz w:val="26"/>
          <w:szCs w:val="26"/>
          <w:lang w:eastAsia="lv-LV"/>
        </w:rPr>
        <w:t xml:space="preserve">Lai regulētu Rīgas </w:t>
      </w:r>
      <w:r w:rsidRPr="004F0720">
        <w:rPr>
          <w:rFonts w:eastAsia="Calibri" w:cs="Times New Roman"/>
          <w:sz w:val="26"/>
          <w:szCs w:val="26"/>
          <w:lang w:eastAsia="lv-LV"/>
        </w:rPr>
        <w:t>valstspilsēt</w:t>
      </w:r>
      <w:r w:rsidR="00A1286C">
        <w:rPr>
          <w:rFonts w:eastAsia="Calibri" w:cs="Times New Roman"/>
          <w:sz w:val="26"/>
          <w:szCs w:val="26"/>
          <w:lang w:eastAsia="lv-LV"/>
        </w:rPr>
        <w:t>a</w:t>
      </w:r>
      <w:r w:rsidRPr="004F0720">
        <w:rPr>
          <w:rFonts w:eastAsia="Calibri" w:cs="Times New Roman"/>
          <w:sz w:val="26"/>
          <w:szCs w:val="26"/>
          <w:lang w:eastAsia="lv-LV"/>
        </w:rPr>
        <w:t>s</w:t>
      </w:r>
      <w:r w:rsidRPr="004F0720">
        <w:rPr>
          <w:rFonts w:eastAsia="Calibri" w:cs="Times New Roman"/>
          <w:sz w:val="26"/>
          <w:szCs w:val="26"/>
          <w:lang w:eastAsia="lv-LV"/>
        </w:rPr>
        <w:t xml:space="preserve"> pašvaldības naudas plūsmu, kā arī  lai nodrošinātu nepieciešamo finansējumu maksājumu izpildei, no norēķinu konta Valsts kasē, kurā tiek ieskaitīti valsts budžeta maksājumi par iedzīvotāju ienākuma nodokli,  regulāri tika veikta līdzekļu pārcelšana uz grupas konta banku.</w:t>
      </w:r>
    </w:p>
    <w:p w:rsidR="001C7DEA" w:rsidRPr="004F0720" w:rsidP="001C7DEA" w14:paraId="3077C13E" w14:textId="77777777">
      <w:pPr>
        <w:spacing w:line="240" w:lineRule="auto"/>
        <w:ind w:firstLine="540"/>
        <w:jc w:val="both"/>
        <w:rPr>
          <w:rFonts w:eastAsia="Times New Roman" w:cs="Times New Roman"/>
          <w:sz w:val="26"/>
          <w:szCs w:val="26"/>
          <w:lang w:eastAsia="lv-LV"/>
        </w:rPr>
      </w:pPr>
      <w:r w:rsidRPr="004F0720">
        <w:rPr>
          <w:rFonts w:eastAsia="Times New Roman" w:cs="Times New Roman"/>
          <w:sz w:val="26"/>
          <w:szCs w:val="26"/>
          <w:lang w:eastAsia="lv-LV"/>
        </w:rPr>
        <w:t xml:space="preserve">2.   2008.gada 20.jūnijā tika noslēgts procentu mijmaiņas darījuma līgums starp Rīgas domi un Deutsche </w:t>
      </w:r>
      <w:r w:rsidRPr="004F0720">
        <w:rPr>
          <w:rFonts w:eastAsia="Times New Roman" w:cs="Times New Roman"/>
          <w:sz w:val="26"/>
          <w:szCs w:val="26"/>
          <w:lang w:eastAsia="lv-LV"/>
        </w:rPr>
        <w:t>Bank</w:t>
      </w:r>
      <w:r w:rsidRPr="004F0720">
        <w:rPr>
          <w:rFonts w:eastAsia="Times New Roman" w:cs="Times New Roman"/>
          <w:sz w:val="26"/>
          <w:szCs w:val="26"/>
          <w:lang w:eastAsia="lv-LV"/>
        </w:rPr>
        <w:t xml:space="preserve"> AG ar mērķi ierobežot pašvaldības likviditātes risku un nodrošināt līdzekļus pašvaldības  kredītsaistību apkalpošanai finanšu un budžeta situācijas izmaiņu gadījumā. Finanšu instruments ir ilgtermiņa, līguma beigu termiņš ir 2028.gada jūnijs.</w:t>
      </w:r>
    </w:p>
    <w:p w:rsidR="001C7DEA" w:rsidRPr="004F0720" w:rsidP="001C7DEA" w14:paraId="7D3D45C8" w14:textId="77777777">
      <w:pPr>
        <w:spacing w:line="240" w:lineRule="auto"/>
        <w:ind w:firstLine="540"/>
        <w:jc w:val="both"/>
        <w:rPr>
          <w:rFonts w:eastAsia="Times New Roman" w:cs="Times New Roman"/>
          <w:sz w:val="26"/>
          <w:szCs w:val="26"/>
          <w:lang w:eastAsia="lv-LV"/>
        </w:rPr>
      </w:pPr>
      <w:r w:rsidRPr="004F0720">
        <w:rPr>
          <w:rFonts w:eastAsia="Times New Roman" w:cs="Times New Roman"/>
          <w:sz w:val="26"/>
          <w:szCs w:val="26"/>
          <w:lang w:eastAsia="lv-LV"/>
        </w:rPr>
        <w:t xml:space="preserve">Atbilstoši finanšu instrumenta savstarpējo norēķinu aprēķiniem, 2025.gadā Rīgas </w:t>
      </w:r>
      <w:r w:rsidRPr="004F0720">
        <w:rPr>
          <w:rFonts w:eastAsia="Times New Roman" w:cs="Times New Roman"/>
          <w:sz w:val="26"/>
          <w:szCs w:val="26"/>
          <w:lang w:eastAsia="lv-LV"/>
        </w:rPr>
        <w:t>valstspilsētās</w:t>
      </w:r>
      <w:r w:rsidRPr="004F0720">
        <w:rPr>
          <w:rFonts w:eastAsia="Times New Roman" w:cs="Times New Roman"/>
          <w:sz w:val="26"/>
          <w:szCs w:val="26"/>
          <w:lang w:eastAsia="lv-LV"/>
        </w:rPr>
        <w:t xml:space="preserve"> pašvaldība veica norēķinus ar  Deutsche </w:t>
      </w:r>
      <w:r w:rsidRPr="004F0720">
        <w:rPr>
          <w:rFonts w:eastAsia="Times New Roman" w:cs="Times New Roman"/>
          <w:sz w:val="26"/>
          <w:szCs w:val="26"/>
          <w:lang w:eastAsia="lv-LV"/>
        </w:rPr>
        <w:t>Bank</w:t>
      </w:r>
      <w:r w:rsidRPr="004F0720">
        <w:rPr>
          <w:rFonts w:eastAsia="Times New Roman" w:cs="Times New Roman"/>
          <w:sz w:val="26"/>
          <w:szCs w:val="26"/>
          <w:lang w:eastAsia="lv-LV"/>
        </w:rPr>
        <w:t xml:space="preserve"> AG, kopsummā par  15 960 000 </w:t>
      </w:r>
      <w:r w:rsidRPr="0074228B">
        <w:rPr>
          <w:rFonts w:eastAsia="Times New Roman" w:cs="Times New Roman"/>
          <w:i/>
          <w:iCs/>
          <w:sz w:val="26"/>
          <w:szCs w:val="26"/>
          <w:lang w:eastAsia="lv-LV"/>
        </w:rPr>
        <w:t>euro</w:t>
      </w:r>
      <w:r w:rsidRPr="004F0720">
        <w:rPr>
          <w:rFonts w:eastAsia="Times New Roman" w:cs="Times New Roman"/>
          <w:sz w:val="26"/>
          <w:szCs w:val="26"/>
          <w:lang w:eastAsia="lv-LV"/>
        </w:rPr>
        <w:t>.</w:t>
      </w:r>
    </w:p>
    <w:p w:rsidR="001C7DEA" w:rsidRPr="004F0720" w:rsidP="001C7DEA" w14:paraId="32AAF6D4" w14:textId="77777777">
      <w:pPr>
        <w:spacing w:line="240" w:lineRule="auto"/>
        <w:ind w:firstLine="540"/>
        <w:jc w:val="both"/>
        <w:rPr>
          <w:rFonts w:eastAsia="Times New Roman" w:cs="Times New Roman"/>
          <w:sz w:val="26"/>
          <w:szCs w:val="26"/>
          <w:lang w:eastAsia="lv-LV"/>
        </w:rPr>
      </w:pPr>
      <w:r w:rsidRPr="004F0720">
        <w:rPr>
          <w:rFonts w:eastAsia="Times New Roman" w:cs="Times New Roman"/>
          <w:sz w:val="26"/>
          <w:szCs w:val="26"/>
          <w:lang w:eastAsia="lv-LV"/>
        </w:rPr>
        <w:t xml:space="preserve">Pamatojoties uz   Ministru kabineta 2018.gada 13.februāra  noteikumu Nr. 87 „Grāmatvedības uzskaites kārtība budžeta iestādēs” 384. punktu, procentu likmes mijmaiņas darījuma līgums, kas noslēgts ar Deutsche </w:t>
      </w:r>
      <w:r w:rsidRPr="004F0720">
        <w:rPr>
          <w:rFonts w:eastAsia="Times New Roman" w:cs="Times New Roman"/>
          <w:sz w:val="26"/>
          <w:szCs w:val="26"/>
          <w:lang w:eastAsia="lv-LV"/>
        </w:rPr>
        <w:t>Bank</w:t>
      </w:r>
      <w:r w:rsidRPr="004F0720">
        <w:rPr>
          <w:rFonts w:eastAsia="Times New Roman" w:cs="Times New Roman"/>
          <w:sz w:val="26"/>
          <w:szCs w:val="26"/>
          <w:lang w:eastAsia="lv-LV"/>
        </w:rPr>
        <w:t xml:space="preserve"> AG 2008.gada 20.jūnijā (grozījumi 16.01.2009 un 05.03.2010), 2025.gada pārskatā ir atspoguļots tā patiesajā vērtībā. Balstoties uz izstrādāto Deutsche </w:t>
      </w:r>
      <w:r w:rsidRPr="004F0720">
        <w:rPr>
          <w:rFonts w:eastAsia="Times New Roman" w:cs="Times New Roman"/>
          <w:sz w:val="26"/>
          <w:szCs w:val="26"/>
          <w:lang w:eastAsia="lv-LV"/>
        </w:rPr>
        <w:t>Bank</w:t>
      </w:r>
      <w:r w:rsidRPr="004F0720">
        <w:rPr>
          <w:rFonts w:eastAsia="Times New Roman" w:cs="Times New Roman"/>
          <w:sz w:val="26"/>
          <w:szCs w:val="26"/>
          <w:lang w:eastAsia="lv-LV"/>
        </w:rPr>
        <w:t xml:space="preserve"> AG darījuma vērtības aprēķina modeli, aprēķinātā atvasinātā finanšu instrumenta patiesā vērtība uz 2025.gada 31.decembri sastādīja   38 886 018.52   </w:t>
      </w:r>
      <w:r w:rsidRPr="0074228B">
        <w:rPr>
          <w:rFonts w:eastAsia="Times New Roman" w:cs="Times New Roman"/>
          <w:i/>
          <w:iCs/>
          <w:sz w:val="26"/>
          <w:szCs w:val="26"/>
          <w:lang w:eastAsia="lv-LV"/>
        </w:rPr>
        <w:t>euro</w:t>
      </w:r>
      <w:r w:rsidRPr="004F0720">
        <w:rPr>
          <w:rFonts w:eastAsia="Times New Roman" w:cs="Times New Roman"/>
          <w:sz w:val="26"/>
          <w:szCs w:val="26"/>
          <w:lang w:eastAsia="lv-LV"/>
        </w:rPr>
        <w:t xml:space="preserve">. </w:t>
      </w:r>
    </w:p>
    <w:p w:rsidR="001C7DEA" w:rsidRPr="004F0720" w:rsidP="001C7DEA" w14:paraId="63CBEF84" w14:textId="77777777">
      <w:pPr>
        <w:spacing w:line="240" w:lineRule="auto"/>
        <w:ind w:firstLine="540"/>
        <w:jc w:val="both"/>
        <w:rPr>
          <w:rFonts w:eastAsia="Times New Roman" w:cs="Times New Roman"/>
          <w:sz w:val="26"/>
          <w:szCs w:val="26"/>
          <w:lang w:eastAsia="lv-LV"/>
        </w:rPr>
      </w:pPr>
      <w:r w:rsidRPr="004F0720">
        <w:rPr>
          <w:rFonts w:eastAsia="Times New Roman" w:cs="Times New Roman"/>
          <w:sz w:val="26"/>
          <w:szCs w:val="26"/>
          <w:lang w:eastAsia="lv-LV"/>
        </w:rPr>
        <w:t>Finanšu instrumenta patiesā vērtība nākotnē var  mainīties, jo tās novērtējumu var  ietekmēt dažādi finanšu risku faktori, tai skaitā procentu likmju izmaiņas un dažādi nākotnes attīstības scenāriji.</w:t>
      </w:r>
    </w:p>
    <w:p w:rsidR="001C7DEA" w:rsidRPr="004F0720" w:rsidP="001C7DEA" w14:paraId="21B08641" w14:textId="77777777">
      <w:pPr>
        <w:spacing w:line="240" w:lineRule="auto"/>
        <w:ind w:firstLine="540"/>
        <w:jc w:val="both"/>
        <w:rPr>
          <w:rFonts w:eastAsia="Times New Roman" w:cs="Times New Roman"/>
          <w:sz w:val="26"/>
          <w:szCs w:val="26"/>
          <w:lang w:val="lv" w:eastAsia="lv-LV"/>
        </w:rPr>
      </w:pPr>
      <w:r w:rsidRPr="004F0720">
        <w:rPr>
          <w:rFonts w:eastAsia="Times New Roman" w:cs="Times New Roman"/>
          <w:sz w:val="26"/>
          <w:szCs w:val="26"/>
          <w:lang w:val="lv" w:eastAsia="lv-LV"/>
        </w:rPr>
        <w:t>Lai mazinātu un novērstu likviditātes risku, tai skaitā, lai pašvaldībai nerastos grūtības atmaksāt savas uzņemtās saistības, pašvaldība finanšu darbības jomā ievēro vairākus kritērijus.</w:t>
      </w:r>
    </w:p>
    <w:p w:rsidR="001C7DEA" w:rsidRPr="004F0720" w:rsidP="001C7DEA" w14:paraId="0C1B234A" w14:textId="77777777">
      <w:pPr>
        <w:spacing w:line="240" w:lineRule="auto"/>
        <w:ind w:firstLine="540"/>
        <w:jc w:val="both"/>
        <w:rPr>
          <w:rFonts w:eastAsia="Times New Roman" w:cs="Times New Roman"/>
          <w:sz w:val="26"/>
          <w:szCs w:val="26"/>
          <w:lang w:eastAsia="lv-LV"/>
        </w:rPr>
      </w:pPr>
      <w:r w:rsidRPr="004F0720">
        <w:rPr>
          <w:rFonts w:eastAsia="Times New Roman" w:cs="Times New Roman"/>
          <w:sz w:val="26"/>
          <w:szCs w:val="26"/>
          <w:lang w:eastAsia="lv-LV"/>
        </w:rPr>
        <w:t>Atbilstoši Stratēģijas 16.5.punktam,  pašvaldības parāda saistības, kurām iestājies atmaksāšanas termiņš kārtējā saimnieciskajā gadā, kopā ar iepriekšējo gadu parāda saistībām, kurām iestājies atmaksāšanas termiņš, nedrīkst pārsniegt 20 procentus no pašvaldības kārtējā saimnieciskā gada budžeta kopapjoma (noteikts likuma „</w:t>
      </w:r>
      <w:r w:rsidRPr="004F0720">
        <w:t xml:space="preserve"> </w:t>
      </w:r>
      <w:r w:rsidRPr="004F0720">
        <w:rPr>
          <w:rFonts w:eastAsia="Times New Roman" w:cs="Times New Roman"/>
          <w:sz w:val="26"/>
          <w:szCs w:val="26"/>
          <w:lang w:eastAsia="lv-LV"/>
        </w:rPr>
        <w:t xml:space="preserve">Likumā par budžetu un finanšu vadību” 45.1 pantā). </w:t>
      </w:r>
    </w:p>
    <w:p w:rsidR="001C7DEA" w:rsidRPr="004F0720" w:rsidP="001C7DEA" w14:paraId="08257FCA" w14:textId="77777777">
      <w:pPr>
        <w:spacing w:line="240" w:lineRule="auto"/>
        <w:ind w:firstLine="540"/>
        <w:jc w:val="both"/>
        <w:rPr>
          <w:rFonts w:eastAsia="Times New Roman" w:cs="Times New Roman"/>
          <w:sz w:val="26"/>
          <w:szCs w:val="26"/>
          <w:lang w:eastAsia="lv-LV"/>
        </w:rPr>
      </w:pPr>
      <w:r w:rsidRPr="004F0720">
        <w:rPr>
          <w:rFonts w:eastAsia="Times New Roman" w:cs="Times New Roman"/>
          <w:sz w:val="26"/>
          <w:szCs w:val="26"/>
          <w:lang w:eastAsia="lv-LV"/>
        </w:rPr>
        <w:t xml:space="preserve">2025.gadā ir uzlabojusies  saistību maksājumu 20 % kritērija izpilde, kas tiek vērtēta kā kārtējā gada plānoto pamatsummu un procentu saistību maksājumu attiecība pret budžeta ieņēmumiem gadā (bez iemaksām pašvaldību finanšu izlīdzināšanas fondā un mērķdotācijām). Rīgas </w:t>
      </w:r>
      <w:r w:rsidRPr="004F0720">
        <w:rPr>
          <w:rFonts w:eastAsia="Times New Roman" w:cs="Times New Roman"/>
          <w:sz w:val="26"/>
          <w:szCs w:val="26"/>
          <w:lang w:eastAsia="lv-LV"/>
        </w:rPr>
        <w:t>valstspilsētas</w:t>
      </w:r>
      <w:r w:rsidRPr="004F0720">
        <w:rPr>
          <w:rFonts w:eastAsia="Times New Roman" w:cs="Times New Roman"/>
          <w:sz w:val="26"/>
          <w:szCs w:val="26"/>
          <w:lang w:eastAsia="lv-LV"/>
        </w:rPr>
        <w:t xml:space="preserve"> pašvaldībai 2025.gada decembrī šis kritērijs bija 9.03 %, jeb par 1.61% mazāks, salīdzinājumā ar  2024.gada decembri - 10.64%. </w:t>
      </w:r>
      <w:bookmarkStart w:id="4" w:name="_Hlk222391988"/>
      <w:r w:rsidRPr="004F0720">
        <w:rPr>
          <w:rFonts w:eastAsia="Times New Roman" w:cs="Times New Roman"/>
          <w:sz w:val="26"/>
          <w:szCs w:val="26"/>
          <w:lang w:eastAsia="lv-LV"/>
        </w:rPr>
        <w:t>Atbilstoši 2025.gada decembra mēneša saistību apjoma pārskatam</w:t>
      </w:r>
      <w:bookmarkEnd w:id="4"/>
      <w:r w:rsidRPr="004F0720">
        <w:rPr>
          <w:rFonts w:eastAsia="Times New Roman" w:cs="Times New Roman"/>
          <w:sz w:val="26"/>
          <w:szCs w:val="26"/>
          <w:lang w:eastAsia="lv-LV"/>
        </w:rPr>
        <w:t xml:space="preserve">, turpmākajos gados ir vērojama saistību maksājumu  kritērija izpildes uzlabošanās. 2026.gadā un turpmākajos gados tas </w:t>
      </w:r>
      <w:r w:rsidRPr="004F0720">
        <w:rPr>
          <w:rFonts w:eastAsia="Times New Roman" w:cs="Times New Roman"/>
          <w:sz w:val="26"/>
          <w:szCs w:val="26"/>
          <w:lang w:eastAsia="lv-LV"/>
        </w:rPr>
        <w:t xml:space="preserve">plānots  6.36%–8.7 %  robežās (ņemot vērā uz 31.12.2025. noslēgto aizdevumu līgumu saistību atmaksas grafikus un plānotos % maksājumus). </w:t>
      </w:r>
    </w:p>
    <w:p w:rsidR="001C7DEA" w:rsidRPr="004F0720" w:rsidP="001C7DEA" w14:paraId="21A41AD0" w14:textId="77777777">
      <w:pPr>
        <w:spacing w:line="240" w:lineRule="auto"/>
        <w:ind w:firstLine="540"/>
        <w:jc w:val="both"/>
        <w:rPr>
          <w:rFonts w:eastAsia="Times New Roman" w:cs="Times New Roman"/>
          <w:sz w:val="26"/>
          <w:szCs w:val="26"/>
          <w:lang w:eastAsia="lv-LV"/>
        </w:rPr>
      </w:pPr>
      <w:r w:rsidRPr="004F0720">
        <w:rPr>
          <w:rFonts w:eastAsia="Times New Roman" w:cs="Times New Roman"/>
          <w:sz w:val="26"/>
          <w:szCs w:val="26"/>
          <w:lang w:eastAsia="lv-LV"/>
        </w:rPr>
        <w:t xml:space="preserve">Sākot ar 2026.gadu, valdība  ir pārskatījusi </w:t>
      </w:r>
      <w:bookmarkStart w:id="5" w:name="_Hlk222391750"/>
      <w:r w:rsidRPr="004F0720">
        <w:rPr>
          <w:rFonts w:eastAsia="Times New Roman" w:cs="Times New Roman"/>
          <w:sz w:val="26"/>
          <w:szCs w:val="26"/>
          <w:lang w:eastAsia="lv-LV"/>
        </w:rPr>
        <w:t>pašvaldības finanšu kapacitātes un ilgtspējas kritērijus jaunu aizņēmumu un galvojumu saistību</w:t>
      </w:r>
      <w:bookmarkEnd w:id="5"/>
      <w:r w:rsidRPr="004F0720">
        <w:rPr>
          <w:rFonts w:eastAsia="Times New Roman" w:cs="Times New Roman"/>
          <w:sz w:val="26"/>
          <w:szCs w:val="26"/>
          <w:lang w:eastAsia="lv-LV"/>
        </w:rPr>
        <w:t xml:space="preserve"> izvērtēšanai (likuma “Par valsts budžetu 2026. gadam un budžeta ietvaru 2026., 2027. un 2028. gadam” 40.panta ceturtā un piektā daļa), nosakot sekojošus kritērijus: </w:t>
      </w:r>
    </w:p>
    <w:p w:rsidR="001C7DEA" w:rsidRPr="004F0720" w:rsidP="001C7DEA" w14:paraId="2FA55A68" w14:textId="77777777">
      <w:pPr>
        <w:pStyle w:val="ListParagraph"/>
        <w:numPr>
          <w:ilvl w:val="0"/>
          <w:numId w:val="9"/>
        </w:numPr>
        <w:jc w:val="both"/>
        <w:rPr>
          <w:rFonts w:ascii="Times New Roman" w:eastAsia="Times New Roman" w:hAnsi="Times New Roman" w:cs="Times New Roman"/>
          <w:sz w:val="26"/>
          <w:szCs w:val="26"/>
        </w:rPr>
      </w:pPr>
      <w:bookmarkStart w:id="6" w:name="_Hlk222391545"/>
      <w:r w:rsidRPr="004F0720">
        <w:rPr>
          <w:rFonts w:ascii="Times New Roman" w:eastAsia="Times New Roman" w:hAnsi="Times New Roman" w:cs="Times New Roman"/>
          <w:sz w:val="26"/>
          <w:szCs w:val="26"/>
        </w:rPr>
        <w:t xml:space="preserve">Pašvaldības saistību (aizņēmumu, galvojumu un citu ilgtermiņa saistību) apmērs kādā no saistību izpildes gadiem pārsniedz 15% </w:t>
      </w:r>
      <w:bookmarkEnd w:id="6"/>
      <w:r w:rsidRPr="004F0720">
        <w:rPr>
          <w:rFonts w:ascii="Times New Roman" w:eastAsia="Times New Roman" w:hAnsi="Times New Roman" w:cs="Times New Roman"/>
          <w:sz w:val="26"/>
          <w:szCs w:val="26"/>
        </w:rPr>
        <w:t xml:space="preserve">no 2026.gada plānotajiem pamatbudžeta ieņēmumiem bez valsts budžeta </w:t>
      </w:r>
      <w:r w:rsidRPr="004F0720">
        <w:rPr>
          <w:rFonts w:ascii="Times New Roman" w:eastAsia="Times New Roman" w:hAnsi="Times New Roman" w:cs="Times New Roman"/>
          <w:sz w:val="26"/>
          <w:szCs w:val="26"/>
        </w:rPr>
        <w:t>transfertiem</w:t>
      </w:r>
      <w:r w:rsidRPr="004F0720">
        <w:rPr>
          <w:rFonts w:ascii="Times New Roman" w:eastAsia="Times New Roman" w:hAnsi="Times New Roman" w:cs="Times New Roman"/>
          <w:sz w:val="26"/>
          <w:szCs w:val="26"/>
        </w:rPr>
        <w:t xml:space="preserve"> noteikta mērķa finansēšanai, un iemaksām pašvaldību finanšu izlīdzināšanas fondā, samazinot  līdzšinējā kritērija līmeni par 5%;</w:t>
      </w:r>
    </w:p>
    <w:p w:rsidR="001C7DEA" w:rsidRPr="004F0720" w:rsidP="001C7DEA" w14:paraId="758A0E23" w14:textId="77777777">
      <w:pPr>
        <w:pStyle w:val="ListParagraph"/>
        <w:numPr>
          <w:ilvl w:val="0"/>
          <w:numId w:val="9"/>
        </w:numPr>
        <w:jc w:val="both"/>
        <w:rPr>
          <w:rFonts w:ascii="Times New Roman" w:eastAsia="Times New Roman" w:hAnsi="Times New Roman" w:cs="Times New Roman"/>
          <w:sz w:val="26"/>
          <w:szCs w:val="26"/>
        </w:rPr>
      </w:pPr>
      <w:r w:rsidRPr="004F0720">
        <w:rPr>
          <w:rFonts w:ascii="Times New Roman" w:eastAsia="Times New Roman" w:hAnsi="Times New Roman" w:cs="Times New Roman"/>
          <w:sz w:val="26"/>
          <w:szCs w:val="26"/>
        </w:rPr>
        <w:t>Pašvaldības bilances ilgtermiņa saistību apmērs pārsniedz 30% no kopējās bilances summas un likviditātes koeficients (neieskaitot krājumus) ir zemāks par 0.8;</w:t>
      </w:r>
    </w:p>
    <w:p w:rsidR="001C7DEA" w:rsidRPr="004F0720" w:rsidP="001C7DEA" w14:paraId="4C4D440F" w14:textId="77777777">
      <w:pPr>
        <w:pStyle w:val="ListParagraph"/>
        <w:numPr>
          <w:ilvl w:val="0"/>
          <w:numId w:val="9"/>
        </w:numPr>
        <w:jc w:val="both"/>
        <w:rPr>
          <w:rFonts w:ascii="Times New Roman" w:eastAsia="Times New Roman" w:hAnsi="Times New Roman" w:cs="Times New Roman"/>
          <w:sz w:val="26"/>
          <w:szCs w:val="26"/>
        </w:rPr>
      </w:pPr>
      <w:r w:rsidRPr="004F0720">
        <w:rPr>
          <w:rFonts w:ascii="Times New Roman" w:eastAsia="Times New Roman" w:hAnsi="Times New Roman" w:cs="Times New Roman"/>
          <w:sz w:val="26"/>
          <w:szCs w:val="26"/>
        </w:rPr>
        <w:t>Pašvaldībai ir neatmaksāts budžeta un finanšu vadības aizņēmums uzturēšanas izdevumu un kavēto maksājumu segšanai.</w:t>
      </w:r>
    </w:p>
    <w:p w:rsidR="001C7DEA" w:rsidRPr="004F0720" w:rsidP="001C7DEA" w14:paraId="4B38CA4A" w14:textId="77777777">
      <w:pPr>
        <w:spacing w:line="240" w:lineRule="auto"/>
        <w:ind w:firstLine="540"/>
        <w:jc w:val="both"/>
        <w:rPr>
          <w:rFonts w:eastAsia="Times New Roman" w:cs="Times New Roman"/>
          <w:sz w:val="26"/>
          <w:szCs w:val="26"/>
          <w:lang w:eastAsia="lv-LV"/>
        </w:rPr>
      </w:pPr>
      <w:r w:rsidRPr="004F0720">
        <w:rPr>
          <w:rFonts w:eastAsia="Times New Roman" w:cs="Times New Roman"/>
          <w:sz w:val="26"/>
          <w:szCs w:val="26"/>
          <w:lang w:eastAsia="lv-LV"/>
        </w:rPr>
        <w:t>Pašvaldības, kurām izpildās vismaz viens no iepriekš minētajiem trim kritērijiem, jaunus aizņēmumus vai galvojums var saņemt tikai Eiropas Savienības fondu un pārējās ārvalstu finanšu palīdzības līdzfinansēto projektu īstenošanai, Eiropas Atveseļošanas fonda finansēto projektu īstenošanai un emisijas kvotu izsoļu ieņēmumu instrumentu līdzfinansēto projektu īstenošanai.</w:t>
      </w:r>
    </w:p>
    <w:p w:rsidR="001C7DEA" w:rsidRPr="004F0720" w:rsidP="001C7DEA" w14:paraId="5CB566BA" w14:textId="77777777">
      <w:pPr>
        <w:spacing w:line="240" w:lineRule="auto"/>
        <w:ind w:firstLine="540"/>
        <w:jc w:val="both"/>
        <w:rPr>
          <w:rFonts w:eastAsia="Times New Roman" w:cs="Times New Roman"/>
          <w:sz w:val="26"/>
          <w:szCs w:val="26"/>
          <w:lang w:eastAsia="lv-LV"/>
        </w:rPr>
      </w:pPr>
      <w:r w:rsidRPr="004F0720">
        <w:rPr>
          <w:rFonts w:eastAsia="Times New Roman" w:cs="Times New Roman"/>
          <w:sz w:val="26"/>
          <w:szCs w:val="26"/>
          <w:lang w:eastAsia="lv-LV"/>
        </w:rPr>
        <w:t xml:space="preserve">Pašvaldības, kurām saistību (aizņēmumu, galvojumu un citu ilgtermiņa saistību) apmērs kādā no saistību izpildes gadiem pārsniedz 20% no 2026.gada plānotajiem pamatbudžeta ieņēmumiem bez valsts budžeta </w:t>
      </w:r>
      <w:r w:rsidRPr="004F0720">
        <w:rPr>
          <w:rFonts w:eastAsia="Times New Roman" w:cs="Times New Roman"/>
          <w:sz w:val="26"/>
          <w:szCs w:val="26"/>
          <w:lang w:eastAsia="lv-LV"/>
        </w:rPr>
        <w:t>transfertiem</w:t>
      </w:r>
      <w:r w:rsidRPr="004F0720">
        <w:rPr>
          <w:rFonts w:eastAsia="Times New Roman" w:cs="Times New Roman"/>
          <w:sz w:val="26"/>
          <w:szCs w:val="26"/>
          <w:lang w:eastAsia="lv-LV"/>
        </w:rPr>
        <w:t xml:space="preserve"> noteikta mērķa finansēšanai un iemaksām pašvaldību finanšu izlīdzināšanas fondā, jaunus aizņēmumus vai galvojums var saņemt Eiropas Savienības finansējuma </w:t>
      </w:r>
      <w:r w:rsidRPr="004F0720">
        <w:rPr>
          <w:rFonts w:eastAsia="Times New Roman" w:cs="Times New Roman"/>
          <w:sz w:val="26"/>
          <w:szCs w:val="26"/>
          <w:lang w:eastAsia="lv-LV"/>
        </w:rPr>
        <w:t>priekšfinansēšanas</w:t>
      </w:r>
      <w:r w:rsidRPr="004F0720">
        <w:rPr>
          <w:rFonts w:eastAsia="Times New Roman" w:cs="Times New Roman"/>
          <w:sz w:val="26"/>
          <w:szCs w:val="26"/>
          <w:lang w:eastAsia="lv-LV"/>
        </w:rPr>
        <w:t xml:space="preserve"> nodrošināšanai  Eiropas Savienības fondu un pārējās ārvalstu finanšu palīdzības līdzfinansētiem projektiem, Eiropas Atveseļošanas fonda finansētiem  projektiem,  ja pašvaldības dome ir apliecinājusi, ka tā spēs pildīt savas saistības un veikt maksājumus, kuriem iestājies atmaksas termiņš. (likuma “Par valsts budžetu 2026. gadam un budžeta ietvaru 2026., 2027. un 2028. gadam” 40.panta sestā daļa).</w:t>
      </w:r>
    </w:p>
    <w:p w:rsidR="001C7DEA" w:rsidRPr="004F0720" w:rsidP="00767127" w14:paraId="3632D25A" w14:textId="52E9EA34">
      <w:pPr>
        <w:spacing w:line="240" w:lineRule="auto"/>
        <w:ind w:firstLine="540"/>
        <w:jc w:val="both"/>
        <w:rPr>
          <w:rFonts w:eastAsia="Times New Roman" w:cs="Times New Roman"/>
          <w:sz w:val="26"/>
          <w:szCs w:val="26"/>
          <w:lang w:eastAsia="lv-LV"/>
        </w:rPr>
      </w:pPr>
      <w:r w:rsidRPr="004F0720">
        <w:rPr>
          <w:rFonts w:eastAsia="Times New Roman" w:cs="Times New Roman"/>
          <w:sz w:val="26"/>
          <w:szCs w:val="26"/>
          <w:lang w:eastAsia="lv-LV"/>
        </w:rPr>
        <w:t xml:space="preserve">2025.gada beigās, izvērtējot Rīgas </w:t>
      </w:r>
      <w:r w:rsidRPr="004F0720">
        <w:rPr>
          <w:rFonts w:eastAsia="Times New Roman" w:cs="Times New Roman"/>
          <w:sz w:val="26"/>
          <w:szCs w:val="26"/>
          <w:lang w:eastAsia="lv-LV"/>
        </w:rPr>
        <w:t>valstspilsētas</w:t>
      </w:r>
      <w:r w:rsidRPr="004F0720">
        <w:rPr>
          <w:rFonts w:eastAsia="Times New Roman" w:cs="Times New Roman"/>
          <w:sz w:val="26"/>
          <w:szCs w:val="26"/>
          <w:lang w:eastAsia="lv-LV"/>
        </w:rPr>
        <w:t xml:space="preserve"> pašvaldības finanšu kapacitātes un ilgtspējas kritērijus atbilstoši jaunajiem nosacījumiem</w:t>
      </w:r>
      <w:r w:rsidR="00767127">
        <w:rPr>
          <w:rFonts w:eastAsia="Times New Roman" w:cs="Times New Roman"/>
          <w:sz w:val="26"/>
          <w:szCs w:val="26"/>
          <w:lang w:eastAsia="lv-LV"/>
        </w:rPr>
        <w:t xml:space="preserve"> (</w:t>
      </w:r>
      <w:r w:rsidRPr="00767127" w:rsidR="00767127">
        <w:rPr>
          <w:rFonts w:eastAsia="Times New Roman" w:cs="Times New Roman"/>
          <w:sz w:val="26"/>
          <w:szCs w:val="26"/>
          <w:lang w:eastAsia="lv-LV"/>
        </w:rPr>
        <w:t>Pašvaldībai ierobežojumi jaunu aizņēmumu piesaistei iestājas tad,</w:t>
      </w:r>
      <w:r w:rsidR="00767127">
        <w:rPr>
          <w:rFonts w:eastAsia="Times New Roman" w:cs="Times New Roman"/>
          <w:sz w:val="26"/>
          <w:szCs w:val="26"/>
          <w:lang w:eastAsia="lv-LV"/>
        </w:rPr>
        <w:t xml:space="preserve"> ja p</w:t>
      </w:r>
      <w:r w:rsidRPr="00767127" w:rsidR="00767127">
        <w:rPr>
          <w:rFonts w:eastAsia="Times New Roman" w:cs="Times New Roman"/>
          <w:sz w:val="26"/>
          <w:szCs w:val="26"/>
          <w:lang w:eastAsia="lv-LV"/>
        </w:rPr>
        <w:t>ašvaldības bilances ilgtermiņa saistību apmērs pārsniedz 30% no kopējās bilances summas un likviditātes koeficients (neieskaitot krājumus) ir zemāks par 0.8</w:t>
      </w:r>
      <w:r w:rsidR="00767127">
        <w:rPr>
          <w:rFonts w:eastAsia="Times New Roman" w:cs="Times New Roman"/>
          <w:sz w:val="26"/>
          <w:szCs w:val="26"/>
          <w:lang w:eastAsia="lv-LV"/>
        </w:rPr>
        <w:t>, abiem minētiem nosacījumiem jāizpildās vienlaicīgi)</w:t>
      </w:r>
      <w:r w:rsidRPr="004F0720">
        <w:rPr>
          <w:rFonts w:eastAsia="Times New Roman" w:cs="Times New Roman"/>
          <w:sz w:val="26"/>
          <w:szCs w:val="26"/>
          <w:lang w:eastAsia="lv-LV"/>
        </w:rPr>
        <w:t>, tika konstatēts, ka pašvaldībai nav ierobežojumu jaunu aizņēmumu piesaistē 2026.gadā:</w:t>
      </w:r>
    </w:p>
    <w:p w:rsidR="001C7DEA" w:rsidRPr="004F0720" w:rsidP="001C7DEA" w14:paraId="56BC85EF" w14:textId="77777777">
      <w:pPr>
        <w:pStyle w:val="ListParagraph"/>
        <w:numPr>
          <w:ilvl w:val="0"/>
          <w:numId w:val="10"/>
        </w:numPr>
        <w:jc w:val="both"/>
        <w:rPr>
          <w:rFonts w:ascii="Times New Roman" w:eastAsia="Times New Roman" w:hAnsi="Times New Roman" w:cs="Times New Roman"/>
          <w:sz w:val="26"/>
          <w:szCs w:val="26"/>
        </w:rPr>
      </w:pPr>
      <w:r w:rsidRPr="004F0720">
        <w:rPr>
          <w:rFonts w:ascii="Times New Roman" w:eastAsia="Times New Roman" w:hAnsi="Times New Roman" w:cs="Times New Roman"/>
          <w:sz w:val="26"/>
          <w:szCs w:val="26"/>
        </w:rPr>
        <w:t xml:space="preserve"> pašvaldības saistību (aizņēmumu, galvojumu un citu ilgtermiņa saistību) apmērs (atbilstoši 2025.gada decembra mēneša saistību apjoma pārskatam) 2025.gadā bija 9.03 %, 2026.gadā un turpmākajos gados    6.36%–8.7 %;</w:t>
      </w:r>
    </w:p>
    <w:p w:rsidR="001C7DEA" w:rsidRPr="004F0720" w:rsidP="001C7DEA" w14:paraId="196B075B" w14:textId="43DB5B0A">
      <w:pPr>
        <w:pStyle w:val="ListParagraph"/>
        <w:numPr>
          <w:ilvl w:val="0"/>
          <w:numId w:val="10"/>
        </w:numPr>
        <w:jc w:val="both"/>
        <w:rPr>
          <w:rFonts w:ascii="Times New Roman" w:eastAsia="Times New Roman" w:hAnsi="Times New Roman" w:cs="Times New Roman"/>
          <w:sz w:val="26"/>
          <w:szCs w:val="26"/>
        </w:rPr>
      </w:pPr>
      <w:r w:rsidRPr="004F0720">
        <w:rPr>
          <w:rFonts w:ascii="Times New Roman" w:eastAsia="Times New Roman" w:hAnsi="Times New Roman" w:cs="Times New Roman"/>
          <w:sz w:val="26"/>
          <w:szCs w:val="26"/>
        </w:rPr>
        <w:t xml:space="preserve"> atbilstoši Rīgas </w:t>
      </w:r>
      <w:r w:rsidRPr="004F0720">
        <w:rPr>
          <w:rFonts w:ascii="Times New Roman" w:eastAsia="Times New Roman" w:hAnsi="Times New Roman" w:cs="Times New Roman"/>
          <w:sz w:val="26"/>
          <w:szCs w:val="26"/>
        </w:rPr>
        <w:t>valstspilsētas</w:t>
      </w:r>
      <w:r w:rsidRPr="004F0720">
        <w:rPr>
          <w:rFonts w:ascii="Times New Roman" w:eastAsia="Times New Roman" w:hAnsi="Times New Roman" w:cs="Times New Roman"/>
          <w:sz w:val="26"/>
          <w:szCs w:val="26"/>
        </w:rPr>
        <w:t xml:space="preserve"> pašvaldības 2024.gada auditētajai bilancei, pašvaldības ilgtermiņa saistību apmērs  no  kopējās bilances </w:t>
      </w:r>
      <w:r w:rsidRPr="004F0720">
        <w:rPr>
          <w:rFonts w:ascii="Times New Roman" w:eastAsia="Times New Roman" w:hAnsi="Times New Roman" w:cs="Times New Roman"/>
          <w:sz w:val="26"/>
          <w:szCs w:val="26"/>
        </w:rPr>
        <w:t>summas ir  13.1%,  bet likviditātes koeficients (neieskaitot krājumus) ir 0.62;</w:t>
      </w:r>
    </w:p>
    <w:p w:rsidR="001C7DEA" w:rsidRPr="004F0720" w:rsidP="001C7DEA" w14:paraId="3A05E641" w14:textId="77777777">
      <w:pPr>
        <w:pStyle w:val="ListParagraph"/>
        <w:numPr>
          <w:ilvl w:val="0"/>
          <w:numId w:val="10"/>
        </w:numPr>
        <w:jc w:val="both"/>
        <w:rPr>
          <w:rFonts w:ascii="Times New Roman" w:eastAsia="Times New Roman" w:hAnsi="Times New Roman" w:cs="Times New Roman"/>
          <w:sz w:val="26"/>
          <w:szCs w:val="26"/>
        </w:rPr>
      </w:pPr>
      <w:r w:rsidRPr="004F0720">
        <w:rPr>
          <w:rFonts w:ascii="Times New Roman" w:eastAsia="Times New Roman" w:hAnsi="Times New Roman" w:cs="Times New Roman"/>
          <w:sz w:val="26"/>
          <w:szCs w:val="26"/>
        </w:rPr>
        <w:t>pašvaldībai nav neatmaksāts budžeta un finanšu vadības aizņēmums uzturēšanas izdevumu un kavēto maksājumu segšanai.</w:t>
      </w:r>
    </w:p>
    <w:p w:rsidR="001C7DEA" w:rsidRPr="004F0720" w:rsidP="001C7DEA" w14:paraId="0F5F2E4C" w14:textId="77777777">
      <w:pPr>
        <w:spacing w:line="240" w:lineRule="auto"/>
        <w:ind w:firstLine="540"/>
        <w:jc w:val="both"/>
        <w:rPr>
          <w:rFonts w:eastAsia="Times New Roman" w:cs="Times New Roman"/>
          <w:sz w:val="26"/>
          <w:szCs w:val="26"/>
          <w:lang w:eastAsia="lv-LV"/>
        </w:rPr>
      </w:pPr>
      <w:r w:rsidRPr="004F0720">
        <w:rPr>
          <w:rFonts w:eastAsia="Times New Roman" w:cs="Times New Roman"/>
          <w:sz w:val="26"/>
          <w:szCs w:val="26"/>
          <w:lang w:eastAsia="lv-LV"/>
        </w:rPr>
        <w:t>Tāpat kā 2025.gad</w:t>
      </w:r>
      <w:r>
        <w:rPr>
          <w:rFonts w:eastAsia="Times New Roman" w:cs="Times New Roman"/>
          <w:sz w:val="26"/>
          <w:szCs w:val="26"/>
          <w:lang w:eastAsia="lv-LV"/>
        </w:rPr>
        <w:t>a</w:t>
      </w:r>
      <w:r w:rsidRPr="004F0720">
        <w:rPr>
          <w:rFonts w:eastAsia="Times New Roman" w:cs="Times New Roman"/>
          <w:sz w:val="26"/>
          <w:szCs w:val="26"/>
          <w:lang w:eastAsia="lv-LV"/>
        </w:rPr>
        <w:t>, arī  2026. gada pašvaldību ieņēmumi virs garantētās iedzīvotāju ienākuma nodokļa ieņēmumu prognozes ti</w:t>
      </w:r>
      <w:r>
        <w:rPr>
          <w:rFonts w:eastAsia="Times New Roman" w:cs="Times New Roman"/>
          <w:sz w:val="26"/>
          <w:szCs w:val="26"/>
          <w:lang w:eastAsia="lv-LV"/>
        </w:rPr>
        <w:t>ks</w:t>
      </w:r>
      <w:r w:rsidRPr="004F0720">
        <w:rPr>
          <w:rFonts w:eastAsia="Times New Roman" w:cs="Times New Roman"/>
          <w:sz w:val="26"/>
          <w:szCs w:val="26"/>
          <w:lang w:eastAsia="lv-LV"/>
        </w:rPr>
        <w:t xml:space="preserve"> novirzīti pašvaldību aizņēmumu saistību dzēšanai (likuma “Par valsts budžetu 2026. gadam un budžeta ietvaru 2026., 2027. un 2028. gadam” 42.panta sestā daļa). </w:t>
      </w:r>
    </w:p>
    <w:p w:rsidR="001C7DEA" w:rsidRPr="004F0720" w:rsidP="001C7DEA" w14:paraId="517FD58D" w14:textId="77777777">
      <w:pPr>
        <w:spacing w:line="240" w:lineRule="auto"/>
        <w:ind w:firstLine="540"/>
        <w:jc w:val="both"/>
        <w:rPr>
          <w:rFonts w:eastAsia="Times New Roman" w:cs="Times New Roman"/>
          <w:sz w:val="26"/>
          <w:szCs w:val="26"/>
          <w:lang w:eastAsia="lv-LV"/>
        </w:rPr>
      </w:pPr>
      <w:r w:rsidRPr="004F0720">
        <w:rPr>
          <w:rFonts w:eastAsia="Times New Roman" w:cs="Times New Roman"/>
          <w:sz w:val="26"/>
          <w:szCs w:val="26"/>
          <w:lang w:eastAsia="lv-LV"/>
        </w:rPr>
        <w:t xml:space="preserve">Rīgas </w:t>
      </w:r>
      <w:r w:rsidRPr="004F0720">
        <w:rPr>
          <w:rFonts w:eastAsia="Times New Roman" w:cs="Times New Roman"/>
          <w:sz w:val="26"/>
          <w:szCs w:val="26"/>
          <w:lang w:eastAsia="lv-LV"/>
        </w:rPr>
        <w:t>valstspilsētas</w:t>
      </w:r>
      <w:r w:rsidRPr="004F0720">
        <w:rPr>
          <w:rFonts w:eastAsia="Times New Roman" w:cs="Times New Roman"/>
          <w:sz w:val="26"/>
          <w:szCs w:val="26"/>
          <w:lang w:eastAsia="lv-LV"/>
        </w:rPr>
        <w:t xml:space="preserve"> pašvaldības automātisko saistību ieturēšanas kontā Valsts kasē 30.12.2025. tika ieskaitīti 10 469 503.33 </w:t>
      </w:r>
      <w:r w:rsidRPr="0074228B">
        <w:rPr>
          <w:rFonts w:eastAsia="Times New Roman" w:cs="Times New Roman"/>
          <w:i/>
          <w:iCs/>
          <w:sz w:val="26"/>
          <w:szCs w:val="26"/>
          <w:lang w:eastAsia="lv-LV"/>
        </w:rPr>
        <w:t>euro</w:t>
      </w:r>
      <w:r w:rsidRPr="004F0720">
        <w:rPr>
          <w:rFonts w:eastAsia="Times New Roman" w:cs="Times New Roman"/>
          <w:sz w:val="26"/>
          <w:szCs w:val="26"/>
          <w:lang w:eastAsia="lv-LV"/>
        </w:rPr>
        <w:t xml:space="preserve"> apmērā virs garantētās iedzīvotāju ienākuma nodokļa ieņēmumu prognozes. Atbilstoši  likumā “Par valsts budžetu 2025. gadam un budžeta ietvaru 2025., 2026. un 2027. gadam” 40.panta sestajā daļā noteiktajam, 21.01.2026. tika pieņemts Rīgas domes lēmums Nr. RD-26-468-lē “Par Rīgas </w:t>
      </w:r>
      <w:r w:rsidRPr="004F0720">
        <w:rPr>
          <w:rFonts w:eastAsia="Times New Roman" w:cs="Times New Roman"/>
          <w:sz w:val="26"/>
          <w:szCs w:val="26"/>
          <w:lang w:eastAsia="lv-LV"/>
        </w:rPr>
        <w:t>valstspilsētas</w:t>
      </w:r>
      <w:r w:rsidRPr="004F0720">
        <w:rPr>
          <w:rFonts w:eastAsia="Times New Roman" w:cs="Times New Roman"/>
          <w:sz w:val="26"/>
          <w:szCs w:val="26"/>
          <w:lang w:eastAsia="lv-LV"/>
        </w:rPr>
        <w:t xml:space="preserve"> pašvaldības ieņēmumu summas apmēra 2025. gadā virs garantētās iedzīvotāju ienākuma nodokļa ieņēmumu prognozes attiecināšanu uz valsts aizdevumu pamatsummu maksājumu dzēšanu”</w:t>
      </w:r>
      <w:r>
        <w:rPr>
          <w:rFonts w:eastAsia="Times New Roman" w:cs="Times New Roman"/>
          <w:sz w:val="26"/>
          <w:szCs w:val="26"/>
          <w:lang w:eastAsia="lv-LV"/>
        </w:rPr>
        <w:t>.</w:t>
      </w:r>
    </w:p>
    <w:p w:rsidR="001C7DEA" w:rsidRPr="004F0720" w:rsidP="001C7DEA" w14:paraId="3030680D" w14:textId="77777777">
      <w:pPr>
        <w:spacing w:line="240" w:lineRule="auto"/>
        <w:ind w:firstLine="540"/>
        <w:jc w:val="both"/>
        <w:rPr>
          <w:rFonts w:eastAsia="Times New Roman" w:cs="Times New Roman"/>
          <w:sz w:val="26"/>
          <w:szCs w:val="26"/>
          <w:lang w:eastAsia="lv-LV"/>
        </w:rPr>
      </w:pPr>
      <w:r w:rsidRPr="004F0720">
        <w:rPr>
          <w:rFonts w:eastAsia="Times New Roman" w:cs="Times New Roman"/>
          <w:sz w:val="26"/>
          <w:szCs w:val="26"/>
          <w:lang w:eastAsia="lv-LV"/>
        </w:rPr>
        <w:t xml:space="preserve">Atbilstoši Stratēģijas 16.6.punktam, pašvaldības ilgtermiņa parādsaistību apjoms (ar dzēšanas termiņu virs viena gada) nedrīkst pārsniegt 100% no pašvaldības kārtējā gada budžeta ieņēmumiem. 2025.gada beigās  Rīgas </w:t>
      </w:r>
      <w:r w:rsidRPr="004F0720">
        <w:rPr>
          <w:rFonts w:eastAsia="Times New Roman" w:cs="Times New Roman"/>
          <w:sz w:val="26"/>
          <w:szCs w:val="26"/>
          <w:lang w:eastAsia="lv-LV"/>
        </w:rPr>
        <w:t>valstspilsētas</w:t>
      </w:r>
      <w:r w:rsidRPr="004F0720">
        <w:rPr>
          <w:rFonts w:eastAsia="Times New Roman" w:cs="Times New Roman"/>
          <w:sz w:val="26"/>
          <w:szCs w:val="26"/>
          <w:lang w:eastAsia="lv-LV"/>
        </w:rPr>
        <w:t xml:space="preserve"> pašvaldības ilgtermiņa parādsaistību apjoms sastādīja </w:t>
      </w:r>
      <w:r w:rsidRPr="006D402A">
        <w:rPr>
          <w:rFonts w:eastAsia="Times New Roman" w:cs="Times New Roman"/>
          <w:sz w:val="26"/>
          <w:szCs w:val="26"/>
          <w:lang w:eastAsia="lv-LV"/>
        </w:rPr>
        <w:t>39.34%</w:t>
      </w:r>
      <w:r w:rsidRPr="004F0720">
        <w:rPr>
          <w:rFonts w:eastAsia="Times New Roman" w:cs="Times New Roman"/>
          <w:sz w:val="26"/>
          <w:szCs w:val="26"/>
          <w:lang w:eastAsia="lv-LV"/>
        </w:rPr>
        <w:t xml:space="preserve"> pret pamatbudžeta ieņēmumiem.</w:t>
      </w:r>
    </w:p>
    <w:p w:rsidR="001C7DEA" w:rsidRPr="004F0720" w:rsidP="001C7DEA" w14:paraId="4C148ECB" w14:textId="77777777">
      <w:pPr>
        <w:spacing w:line="240" w:lineRule="auto"/>
        <w:ind w:firstLine="540"/>
        <w:jc w:val="both"/>
        <w:rPr>
          <w:rFonts w:eastAsia="Times New Roman" w:cs="Times New Roman"/>
          <w:sz w:val="26"/>
          <w:szCs w:val="26"/>
          <w:lang w:eastAsia="lv-LV"/>
        </w:rPr>
      </w:pPr>
      <w:r w:rsidRPr="004F0720">
        <w:rPr>
          <w:rFonts w:eastAsia="Times New Roman" w:cs="Times New Roman"/>
          <w:sz w:val="26"/>
          <w:szCs w:val="26"/>
          <w:lang w:eastAsia="lv-LV"/>
        </w:rPr>
        <w:t xml:space="preserve">Pieņemot finanšu resursu vadības lēmumus, Rīgas </w:t>
      </w:r>
      <w:r w:rsidRPr="004F0720">
        <w:rPr>
          <w:rFonts w:eastAsia="Times New Roman" w:cs="Times New Roman"/>
          <w:sz w:val="26"/>
          <w:szCs w:val="26"/>
          <w:lang w:eastAsia="lv-LV"/>
        </w:rPr>
        <w:t>valstspilsētas</w:t>
      </w:r>
      <w:r w:rsidRPr="004F0720">
        <w:rPr>
          <w:rFonts w:eastAsia="Times New Roman" w:cs="Times New Roman"/>
          <w:sz w:val="26"/>
          <w:szCs w:val="26"/>
          <w:lang w:eastAsia="lv-LV"/>
        </w:rPr>
        <w:t xml:space="preserve"> pašvaldība ir ņēmusi  vērā notiekošos procesus finanšu tirgū un ir  analizējusi to attīstības tendences, lai nodrošinātu efektīvu un drošu finanšu resursu pārvaldību.</w:t>
      </w:r>
    </w:p>
    <w:p w:rsidR="001C7DEA" w:rsidRPr="004F0720" w:rsidP="001C7DEA" w14:paraId="4BB6D3F1" w14:textId="77777777">
      <w:pPr>
        <w:spacing w:line="240" w:lineRule="auto"/>
        <w:jc w:val="both"/>
        <w:rPr>
          <w:rFonts w:eastAsia="Times New Roman" w:cs="Times New Roman"/>
          <w:b/>
          <w:sz w:val="26"/>
          <w:szCs w:val="26"/>
          <w:lang w:eastAsia="lv-LV"/>
        </w:rPr>
      </w:pPr>
    </w:p>
    <w:p w:rsidR="001C7DEA" w:rsidRPr="004F0720" w:rsidP="001C7DEA" w14:paraId="3FEDA85B" w14:textId="77777777">
      <w:pPr>
        <w:spacing w:line="240" w:lineRule="auto"/>
        <w:jc w:val="both"/>
        <w:rPr>
          <w:rFonts w:eastAsia="Times New Roman" w:cs="Times New Roman"/>
          <w:b/>
          <w:sz w:val="26"/>
          <w:szCs w:val="26"/>
          <w:lang w:eastAsia="lv-LV"/>
        </w:rPr>
      </w:pPr>
      <w:r w:rsidRPr="004F0720">
        <w:rPr>
          <w:rFonts w:eastAsia="Times New Roman" w:cs="Times New Roman"/>
          <w:b/>
          <w:sz w:val="26"/>
          <w:szCs w:val="26"/>
          <w:lang w:eastAsia="lv-LV"/>
        </w:rPr>
        <w:t>Kredītreitings</w:t>
      </w:r>
    </w:p>
    <w:p w:rsidR="001C7DEA" w:rsidRPr="004F0720" w:rsidP="001C7DEA" w14:paraId="1B6082CD" w14:textId="77777777">
      <w:pPr>
        <w:spacing w:line="240" w:lineRule="auto"/>
        <w:ind w:firstLine="540"/>
        <w:jc w:val="both"/>
        <w:rPr>
          <w:rFonts w:eastAsia="Times New Roman" w:cs="Times New Roman"/>
          <w:sz w:val="26"/>
          <w:szCs w:val="26"/>
          <w:lang w:eastAsia="lv-LV"/>
        </w:rPr>
      </w:pPr>
      <w:r w:rsidRPr="004F0720">
        <w:rPr>
          <w:rFonts w:eastAsia="Times New Roman" w:cs="Times New Roman"/>
          <w:sz w:val="26"/>
          <w:szCs w:val="26"/>
          <w:lang w:eastAsia="lv-LV"/>
        </w:rPr>
        <w:t xml:space="preserve">Rīgas </w:t>
      </w:r>
      <w:r w:rsidRPr="004F0720">
        <w:rPr>
          <w:rFonts w:eastAsia="Times New Roman" w:cs="Times New Roman"/>
          <w:sz w:val="26"/>
          <w:szCs w:val="26"/>
          <w:lang w:eastAsia="lv-LV"/>
        </w:rPr>
        <w:t>valstspilsētas</w:t>
      </w:r>
      <w:r w:rsidRPr="004F0720">
        <w:rPr>
          <w:rFonts w:eastAsia="Times New Roman" w:cs="Times New Roman"/>
          <w:sz w:val="26"/>
          <w:szCs w:val="26"/>
          <w:lang w:eastAsia="lv-LV"/>
        </w:rPr>
        <w:t xml:space="preserve"> pašvaldības kredītreitings ir nepieciešams, lai parādītu potenciālajiem investoriem – investīciju bankām, dažādām aģentūrām, kā arī citiem iespējamiem investoriem, ieguldījumu drošības līmeni Rīgas </w:t>
      </w:r>
      <w:r w:rsidRPr="004F0720">
        <w:rPr>
          <w:rFonts w:eastAsia="Times New Roman" w:cs="Times New Roman"/>
          <w:sz w:val="26"/>
          <w:szCs w:val="26"/>
          <w:lang w:eastAsia="lv-LV"/>
        </w:rPr>
        <w:t>valstspilsētā</w:t>
      </w:r>
      <w:r w:rsidRPr="004F0720">
        <w:rPr>
          <w:rFonts w:eastAsia="Times New Roman" w:cs="Times New Roman"/>
          <w:sz w:val="26"/>
          <w:szCs w:val="26"/>
          <w:lang w:eastAsia="lv-LV"/>
        </w:rPr>
        <w:t xml:space="preserve">. Tāpat kredītreitings ir noteicošais faktors, Rīgas </w:t>
      </w:r>
      <w:r w:rsidRPr="004F0720">
        <w:rPr>
          <w:rFonts w:eastAsia="Times New Roman" w:cs="Times New Roman"/>
          <w:sz w:val="26"/>
          <w:szCs w:val="26"/>
          <w:lang w:eastAsia="lv-LV"/>
        </w:rPr>
        <w:t>valstspilsētas</w:t>
      </w:r>
      <w:r w:rsidRPr="004F0720">
        <w:rPr>
          <w:rFonts w:eastAsia="Times New Roman" w:cs="Times New Roman"/>
          <w:sz w:val="26"/>
          <w:szCs w:val="26"/>
          <w:lang w:eastAsia="lv-LV"/>
        </w:rPr>
        <w:t xml:space="preserve"> pašvaldībai potenciāli piesaistot finanšu resursus starptautiskajā finanšu tirgū, tādejādi tas ietekmē Rīgas </w:t>
      </w:r>
      <w:r w:rsidRPr="004F0720">
        <w:rPr>
          <w:rFonts w:eastAsia="Times New Roman" w:cs="Times New Roman"/>
          <w:sz w:val="26"/>
          <w:szCs w:val="26"/>
          <w:lang w:eastAsia="lv-LV"/>
        </w:rPr>
        <w:t>valstspilsētas</w:t>
      </w:r>
      <w:r w:rsidRPr="004F0720">
        <w:rPr>
          <w:rFonts w:eastAsia="Times New Roman" w:cs="Times New Roman"/>
          <w:sz w:val="26"/>
          <w:szCs w:val="26"/>
          <w:lang w:eastAsia="lv-LV"/>
        </w:rPr>
        <w:t xml:space="preserve"> aizņemšanās iespējas un izmaksas – jo augstāks kredītreitings, jo zemākas aizņemšanās izmaksas, un no investora viedokļa ieguldījums ir drošāks.</w:t>
      </w:r>
    </w:p>
    <w:p w:rsidR="001C7DEA" w:rsidRPr="004F0720" w:rsidP="001C7DEA" w14:paraId="6086C0D9" w14:textId="77777777">
      <w:pPr>
        <w:spacing w:line="240" w:lineRule="auto"/>
        <w:ind w:firstLine="720"/>
        <w:jc w:val="both"/>
        <w:rPr>
          <w:rFonts w:eastAsia="Times New Roman" w:cs="Times New Roman"/>
          <w:noProof/>
          <w:sz w:val="26"/>
          <w:szCs w:val="26"/>
        </w:rPr>
      </w:pPr>
      <w:r w:rsidRPr="004F0720">
        <w:rPr>
          <w:rFonts w:eastAsia="Times New Roman" w:cs="Times New Roman"/>
          <w:noProof/>
          <w:sz w:val="26"/>
          <w:szCs w:val="26"/>
        </w:rPr>
        <w:t>Rīgas valstspilsētas pašvaldības finanšu un budžeta politiku turpina vērtēt starptautiskā kredītreitinga aģentūra “Standard &amp; Poor’s”. Izvērtējot pilsētas finanšu un budžeta situāciju, kredītreitinga aģentūra 2025.gadā saglabāja nemainīgu Rīgas pilsētai piešķirto kredītreitingu “A” līmenī ar stabilu attīstības perspektīvu.</w:t>
      </w:r>
    </w:p>
    <w:p w:rsidR="001C7DEA" w:rsidP="001C7DEA" w14:paraId="3C1CBE6A" w14:textId="77777777">
      <w:pPr>
        <w:spacing w:line="240" w:lineRule="auto"/>
        <w:ind w:firstLine="720"/>
        <w:jc w:val="both"/>
        <w:rPr>
          <w:rFonts w:eastAsia="Calibri" w:cs="Times New Roman"/>
          <w:b/>
          <w:bCs/>
          <w:sz w:val="26"/>
          <w:szCs w:val="26"/>
        </w:rPr>
      </w:pPr>
      <w:bookmarkStart w:id="7" w:name="_Hlk188366834"/>
    </w:p>
    <w:p w:rsidR="00B9590E" w:rsidP="001C7DEA" w14:paraId="23651509" w14:textId="77777777">
      <w:pPr>
        <w:spacing w:line="240" w:lineRule="auto"/>
        <w:ind w:firstLine="720"/>
        <w:jc w:val="both"/>
        <w:rPr>
          <w:rFonts w:eastAsia="Calibri" w:cs="Times New Roman"/>
          <w:b/>
          <w:bCs/>
          <w:sz w:val="26"/>
          <w:szCs w:val="26"/>
        </w:rPr>
      </w:pPr>
    </w:p>
    <w:p w:rsidR="00B9590E" w:rsidP="001C7DEA" w14:paraId="1DFDE6A0" w14:textId="77777777">
      <w:pPr>
        <w:spacing w:line="240" w:lineRule="auto"/>
        <w:ind w:firstLine="720"/>
        <w:jc w:val="both"/>
        <w:rPr>
          <w:rFonts w:eastAsia="Calibri" w:cs="Times New Roman"/>
          <w:b/>
          <w:bCs/>
          <w:sz w:val="26"/>
          <w:szCs w:val="26"/>
        </w:rPr>
      </w:pPr>
    </w:p>
    <w:p w:rsidR="00B9590E" w:rsidP="001C7DEA" w14:paraId="057CAFE4" w14:textId="77777777">
      <w:pPr>
        <w:spacing w:line="240" w:lineRule="auto"/>
        <w:ind w:firstLine="720"/>
        <w:jc w:val="both"/>
        <w:rPr>
          <w:rFonts w:eastAsia="Calibri" w:cs="Times New Roman"/>
          <w:b/>
          <w:bCs/>
          <w:sz w:val="26"/>
          <w:szCs w:val="26"/>
        </w:rPr>
      </w:pPr>
    </w:p>
    <w:p w:rsidR="00B9590E" w:rsidP="001C7DEA" w14:paraId="5FEEAF31" w14:textId="77777777">
      <w:pPr>
        <w:spacing w:line="240" w:lineRule="auto"/>
        <w:ind w:firstLine="720"/>
        <w:jc w:val="both"/>
        <w:rPr>
          <w:rFonts w:eastAsia="Calibri" w:cs="Times New Roman"/>
          <w:b/>
          <w:bCs/>
          <w:sz w:val="26"/>
          <w:szCs w:val="26"/>
        </w:rPr>
      </w:pPr>
    </w:p>
    <w:p w:rsidR="00B9590E" w:rsidP="001C7DEA" w14:paraId="0E977402" w14:textId="77777777">
      <w:pPr>
        <w:spacing w:line="240" w:lineRule="auto"/>
        <w:ind w:firstLine="720"/>
        <w:jc w:val="both"/>
        <w:rPr>
          <w:rFonts w:eastAsia="Calibri" w:cs="Times New Roman"/>
          <w:b/>
          <w:bCs/>
          <w:sz w:val="26"/>
          <w:szCs w:val="26"/>
        </w:rPr>
      </w:pPr>
    </w:p>
    <w:p w:rsidR="001C7DEA" w:rsidRPr="004F0720" w:rsidP="001C7DEA" w14:paraId="35C1CA24" w14:textId="77777777">
      <w:pPr>
        <w:spacing w:line="240" w:lineRule="auto"/>
        <w:ind w:firstLine="720"/>
        <w:jc w:val="both"/>
        <w:rPr>
          <w:rFonts w:eastAsia="Calibri" w:cs="Times New Roman"/>
          <w:b/>
          <w:bCs/>
          <w:sz w:val="26"/>
          <w:szCs w:val="26"/>
        </w:rPr>
      </w:pPr>
      <w:r w:rsidRPr="004F0720">
        <w:rPr>
          <w:rFonts w:eastAsia="Calibri" w:cs="Times New Roman"/>
          <w:b/>
          <w:bCs/>
          <w:sz w:val="26"/>
          <w:szCs w:val="26"/>
        </w:rPr>
        <w:t xml:space="preserve">Rīgas </w:t>
      </w:r>
      <w:r w:rsidRPr="004F0720">
        <w:rPr>
          <w:rFonts w:eastAsia="Calibri" w:cs="Times New Roman"/>
          <w:b/>
          <w:bCs/>
          <w:sz w:val="26"/>
          <w:szCs w:val="26"/>
        </w:rPr>
        <w:t>valstspilsētas</w:t>
      </w:r>
      <w:r w:rsidRPr="004F0720">
        <w:rPr>
          <w:rFonts w:eastAsia="Calibri" w:cs="Times New Roman"/>
          <w:b/>
          <w:bCs/>
          <w:sz w:val="26"/>
          <w:szCs w:val="26"/>
        </w:rPr>
        <w:t xml:space="preserve"> kredītreitinga vēsture</w:t>
      </w:r>
    </w:p>
    <w:tbl>
      <w:tblPr>
        <w:tblW w:w="6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908"/>
        <w:gridCol w:w="2160"/>
        <w:gridCol w:w="2160"/>
      </w:tblGrid>
      <w:tr w14:paraId="3E5542F2" w14:textId="77777777" w:rsidTr="00D61CD1">
        <w:tblPrEx>
          <w:tblW w:w="6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Ex>
        <w:trPr>
          <w:trHeight w:val="603"/>
          <w:jc w:val="center"/>
        </w:trPr>
        <w:tc>
          <w:tcPr>
            <w:tcW w:w="1908" w:type="dxa"/>
            <w:tcMar>
              <w:top w:w="0" w:type="dxa"/>
              <w:left w:w="108" w:type="dxa"/>
              <w:bottom w:w="0" w:type="dxa"/>
              <w:right w:w="108" w:type="dxa"/>
            </w:tcMar>
          </w:tcPr>
          <w:p w:rsidR="001C7DEA" w:rsidRPr="004F0720" w:rsidP="00D61CD1" w14:paraId="6674948D" w14:textId="77777777">
            <w:pPr>
              <w:spacing w:line="240" w:lineRule="auto"/>
              <w:jc w:val="both"/>
              <w:rPr>
                <w:rFonts w:eastAsia="Times New Roman" w:cs="Times New Roman"/>
                <w:b/>
                <w:bCs/>
                <w:noProof/>
                <w:szCs w:val="24"/>
              </w:rPr>
            </w:pPr>
          </w:p>
          <w:p w:rsidR="001C7DEA" w:rsidRPr="004F0720" w:rsidP="00D61CD1" w14:paraId="2173DE62" w14:textId="77777777">
            <w:pPr>
              <w:spacing w:line="240" w:lineRule="auto"/>
              <w:jc w:val="both"/>
              <w:rPr>
                <w:rFonts w:eastAsia="Times New Roman" w:cs="Times New Roman"/>
                <w:b/>
                <w:bCs/>
                <w:noProof/>
                <w:szCs w:val="24"/>
              </w:rPr>
            </w:pPr>
            <w:r w:rsidRPr="004F0720">
              <w:rPr>
                <w:rFonts w:eastAsia="Times New Roman" w:cs="Times New Roman"/>
                <w:b/>
                <w:bCs/>
                <w:noProof/>
                <w:szCs w:val="24"/>
              </w:rPr>
              <w:t>Kredītreitinga piešķiršanas gads</w:t>
            </w:r>
          </w:p>
        </w:tc>
        <w:tc>
          <w:tcPr>
            <w:tcW w:w="2160" w:type="dxa"/>
            <w:tcMar>
              <w:top w:w="0" w:type="dxa"/>
              <w:left w:w="108" w:type="dxa"/>
              <w:bottom w:w="0" w:type="dxa"/>
              <w:right w:w="108" w:type="dxa"/>
            </w:tcMar>
            <w:hideMark/>
          </w:tcPr>
          <w:p w:rsidR="001C7DEA" w:rsidRPr="004F0720" w:rsidP="00D61CD1" w14:paraId="7527246C" w14:textId="77777777">
            <w:pPr>
              <w:spacing w:line="240" w:lineRule="auto"/>
              <w:jc w:val="both"/>
              <w:rPr>
                <w:rFonts w:eastAsia="Times New Roman" w:cs="Times New Roman"/>
                <w:b/>
                <w:bCs/>
                <w:i/>
                <w:iCs/>
                <w:noProof/>
                <w:szCs w:val="24"/>
              </w:rPr>
            </w:pPr>
            <w:r w:rsidRPr="004F0720">
              <w:rPr>
                <w:rFonts w:eastAsia="Times New Roman" w:cs="Times New Roman"/>
                <w:b/>
                <w:bCs/>
                <w:i/>
                <w:iCs/>
                <w:noProof/>
                <w:szCs w:val="24"/>
              </w:rPr>
              <w:t>Standart &amp; Poor’s</w:t>
            </w:r>
          </w:p>
          <w:p w:rsidR="001C7DEA" w:rsidRPr="004F0720" w:rsidP="00D61CD1" w14:paraId="79AD46BB" w14:textId="77777777">
            <w:pPr>
              <w:spacing w:line="240" w:lineRule="auto"/>
              <w:jc w:val="both"/>
              <w:rPr>
                <w:rFonts w:eastAsia="Times New Roman" w:cs="Times New Roman"/>
                <w:noProof/>
                <w:szCs w:val="24"/>
              </w:rPr>
            </w:pPr>
            <w:r w:rsidRPr="004F0720">
              <w:rPr>
                <w:rFonts w:eastAsia="Times New Roman" w:cs="Times New Roman"/>
                <w:b/>
                <w:bCs/>
                <w:noProof/>
                <w:szCs w:val="24"/>
              </w:rPr>
              <w:t xml:space="preserve">reitings saistībām vietējā un ārvalstu valūtā </w:t>
            </w:r>
          </w:p>
        </w:tc>
        <w:tc>
          <w:tcPr>
            <w:tcW w:w="2160" w:type="dxa"/>
            <w:tcMar>
              <w:top w:w="0" w:type="dxa"/>
              <w:left w:w="108" w:type="dxa"/>
              <w:bottom w:w="0" w:type="dxa"/>
              <w:right w:w="108" w:type="dxa"/>
            </w:tcMar>
            <w:hideMark/>
          </w:tcPr>
          <w:p w:rsidR="001C7DEA" w:rsidRPr="004F0720" w:rsidP="00D61CD1" w14:paraId="077F6BBF" w14:textId="77777777">
            <w:pPr>
              <w:spacing w:line="240" w:lineRule="auto"/>
              <w:jc w:val="both"/>
              <w:rPr>
                <w:rFonts w:eastAsia="Times New Roman" w:cs="Times New Roman"/>
                <w:b/>
                <w:bCs/>
                <w:noProof/>
                <w:szCs w:val="24"/>
              </w:rPr>
            </w:pPr>
            <w:r w:rsidRPr="004F0720">
              <w:rPr>
                <w:rFonts w:eastAsia="Times New Roman" w:cs="Times New Roman"/>
                <w:b/>
                <w:bCs/>
                <w:i/>
                <w:iCs/>
                <w:noProof/>
                <w:szCs w:val="24"/>
              </w:rPr>
              <w:t>Moody’s Investors Service</w:t>
            </w:r>
            <w:r w:rsidRPr="004F0720">
              <w:rPr>
                <w:rFonts w:eastAsia="Times New Roman" w:cs="Times New Roman"/>
                <w:b/>
                <w:bCs/>
                <w:noProof/>
                <w:szCs w:val="24"/>
              </w:rPr>
              <w:t xml:space="preserve"> reitings saistībām vietējā un ārvalstu valūtā</w:t>
            </w:r>
          </w:p>
        </w:tc>
      </w:tr>
      <w:tr w14:paraId="1451BF42"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67F61F78" w14:textId="77777777">
            <w:pPr>
              <w:spacing w:line="240" w:lineRule="auto"/>
              <w:jc w:val="both"/>
              <w:rPr>
                <w:rFonts w:eastAsia="Times New Roman" w:cs="Times New Roman"/>
                <w:noProof/>
                <w:szCs w:val="24"/>
              </w:rPr>
            </w:pPr>
            <w:r w:rsidRPr="004F0720">
              <w:rPr>
                <w:rFonts w:eastAsia="Times New Roman" w:cs="Times New Roman"/>
                <w:noProof/>
                <w:szCs w:val="24"/>
              </w:rPr>
              <w:t>1997</w:t>
            </w:r>
          </w:p>
        </w:tc>
        <w:tc>
          <w:tcPr>
            <w:tcW w:w="2160" w:type="dxa"/>
            <w:tcMar>
              <w:top w:w="0" w:type="dxa"/>
              <w:left w:w="108" w:type="dxa"/>
              <w:bottom w:w="0" w:type="dxa"/>
              <w:right w:w="108" w:type="dxa"/>
            </w:tcMar>
            <w:hideMark/>
          </w:tcPr>
          <w:p w:rsidR="001C7DEA" w:rsidRPr="004F0720" w:rsidP="00D61CD1" w14:paraId="68222B76" w14:textId="77777777">
            <w:pPr>
              <w:spacing w:line="240" w:lineRule="auto"/>
              <w:jc w:val="both"/>
              <w:rPr>
                <w:rFonts w:eastAsia="Times New Roman" w:cs="Times New Roman"/>
                <w:noProof/>
                <w:szCs w:val="24"/>
              </w:rPr>
            </w:pPr>
            <w:r w:rsidRPr="004F0720">
              <w:rPr>
                <w:rFonts w:eastAsia="Times New Roman" w:cs="Times New Roman"/>
                <w:noProof/>
                <w:szCs w:val="24"/>
              </w:rPr>
              <w:t>BBB-/Positive/A-3</w:t>
            </w:r>
          </w:p>
        </w:tc>
        <w:tc>
          <w:tcPr>
            <w:tcW w:w="2160" w:type="dxa"/>
            <w:tcMar>
              <w:top w:w="0" w:type="dxa"/>
              <w:left w:w="108" w:type="dxa"/>
              <w:bottom w:w="0" w:type="dxa"/>
              <w:right w:w="108" w:type="dxa"/>
            </w:tcMar>
            <w:hideMark/>
          </w:tcPr>
          <w:p w:rsidR="001C7DEA" w:rsidRPr="004F0720" w:rsidP="00D61CD1" w14:paraId="01EA4B27" w14:textId="77777777">
            <w:pPr>
              <w:spacing w:line="240" w:lineRule="auto"/>
              <w:jc w:val="both"/>
              <w:rPr>
                <w:rFonts w:eastAsia="Times New Roman" w:cs="Times New Roman"/>
                <w:noProof/>
                <w:szCs w:val="24"/>
              </w:rPr>
            </w:pPr>
            <w:r w:rsidRPr="004F0720">
              <w:rPr>
                <w:rFonts w:eastAsia="Times New Roman" w:cs="Times New Roman"/>
                <w:noProof/>
                <w:szCs w:val="24"/>
              </w:rPr>
              <w:t>-</w:t>
            </w:r>
          </w:p>
        </w:tc>
      </w:tr>
      <w:tr w14:paraId="0DB43EC1"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1F230147" w14:textId="77777777">
            <w:pPr>
              <w:spacing w:line="240" w:lineRule="auto"/>
              <w:jc w:val="both"/>
              <w:rPr>
                <w:rFonts w:eastAsia="Times New Roman" w:cs="Times New Roman"/>
                <w:noProof/>
                <w:szCs w:val="24"/>
              </w:rPr>
            </w:pPr>
            <w:r w:rsidRPr="004F0720">
              <w:rPr>
                <w:rFonts w:eastAsia="Times New Roman" w:cs="Times New Roman"/>
                <w:noProof/>
                <w:szCs w:val="24"/>
              </w:rPr>
              <w:t>1999</w:t>
            </w:r>
          </w:p>
        </w:tc>
        <w:tc>
          <w:tcPr>
            <w:tcW w:w="2160" w:type="dxa"/>
            <w:tcMar>
              <w:top w:w="0" w:type="dxa"/>
              <w:left w:w="108" w:type="dxa"/>
              <w:bottom w:w="0" w:type="dxa"/>
              <w:right w:w="108" w:type="dxa"/>
            </w:tcMar>
            <w:hideMark/>
          </w:tcPr>
          <w:p w:rsidR="001C7DEA" w:rsidRPr="004F0720" w:rsidP="00D61CD1" w14:paraId="1CF4B10D" w14:textId="77777777">
            <w:pPr>
              <w:spacing w:line="240" w:lineRule="auto"/>
              <w:jc w:val="both"/>
              <w:rPr>
                <w:rFonts w:eastAsia="Times New Roman" w:cs="Times New Roman"/>
                <w:noProof/>
                <w:szCs w:val="24"/>
              </w:rPr>
            </w:pPr>
            <w:r w:rsidRPr="004F0720">
              <w:rPr>
                <w:rFonts w:eastAsia="Times New Roman" w:cs="Times New Roman"/>
                <w:noProof/>
                <w:szCs w:val="24"/>
              </w:rPr>
              <w:t>BBB/Stable/A-3</w:t>
            </w:r>
          </w:p>
        </w:tc>
        <w:tc>
          <w:tcPr>
            <w:tcW w:w="2160" w:type="dxa"/>
            <w:tcMar>
              <w:top w:w="0" w:type="dxa"/>
              <w:left w:w="108" w:type="dxa"/>
              <w:bottom w:w="0" w:type="dxa"/>
              <w:right w:w="108" w:type="dxa"/>
            </w:tcMar>
            <w:hideMark/>
          </w:tcPr>
          <w:p w:rsidR="001C7DEA" w:rsidRPr="004F0720" w:rsidP="00D61CD1" w14:paraId="7238F24C" w14:textId="77777777">
            <w:pPr>
              <w:spacing w:line="240" w:lineRule="auto"/>
              <w:jc w:val="both"/>
              <w:rPr>
                <w:rFonts w:eastAsia="Times New Roman" w:cs="Times New Roman"/>
                <w:noProof/>
                <w:szCs w:val="24"/>
              </w:rPr>
            </w:pPr>
            <w:r w:rsidRPr="004F0720">
              <w:rPr>
                <w:rFonts w:eastAsia="Times New Roman" w:cs="Times New Roman"/>
                <w:noProof/>
                <w:szCs w:val="24"/>
              </w:rPr>
              <w:t>-</w:t>
            </w:r>
          </w:p>
        </w:tc>
      </w:tr>
      <w:tr w14:paraId="50260CBF"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56D83061" w14:textId="77777777">
            <w:pPr>
              <w:spacing w:line="240" w:lineRule="auto"/>
              <w:jc w:val="both"/>
              <w:rPr>
                <w:rFonts w:eastAsia="Times New Roman" w:cs="Times New Roman"/>
                <w:noProof/>
                <w:szCs w:val="24"/>
              </w:rPr>
            </w:pPr>
            <w:r w:rsidRPr="004F0720">
              <w:rPr>
                <w:rFonts w:eastAsia="Times New Roman" w:cs="Times New Roman"/>
                <w:noProof/>
                <w:szCs w:val="24"/>
              </w:rPr>
              <w:t>2001</w:t>
            </w:r>
          </w:p>
        </w:tc>
        <w:tc>
          <w:tcPr>
            <w:tcW w:w="2160" w:type="dxa"/>
            <w:tcMar>
              <w:top w:w="0" w:type="dxa"/>
              <w:left w:w="108" w:type="dxa"/>
              <w:bottom w:w="0" w:type="dxa"/>
              <w:right w:w="108" w:type="dxa"/>
            </w:tcMar>
            <w:hideMark/>
          </w:tcPr>
          <w:p w:rsidR="001C7DEA" w:rsidRPr="004F0720" w:rsidP="00D61CD1" w14:paraId="3EC4D0E8" w14:textId="77777777">
            <w:pPr>
              <w:spacing w:line="240" w:lineRule="auto"/>
              <w:jc w:val="both"/>
              <w:rPr>
                <w:rFonts w:eastAsia="Times New Roman" w:cs="Times New Roman"/>
                <w:noProof/>
                <w:szCs w:val="24"/>
              </w:rPr>
            </w:pPr>
            <w:r w:rsidRPr="004F0720">
              <w:rPr>
                <w:rFonts w:eastAsia="Times New Roman" w:cs="Times New Roman"/>
                <w:noProof/>
                <w:szCs w:val="24"/>
              </w:rPr>
              <w:t>BBB/Positive/A-3</w:t>
            </w:r>
          </w:p>
        </w:tc>
        <w:tc>
          <w:tcPr>
            <w:tcW w:w="2160" w:type="dxa"/>
            <w:tcMar>
              <w:top w:w="0" w:type="dxa"/>
              <w:left w:w="108" w:type="dxa"/>
              <w:bottom w:w="0" w:type="dxa"/>
              <w:right w:w="108" w:type="dxa"/>
            </w:tcMar>
            <w:hideMark/>
          </w:tcPr>
          <w:p w:rsidR="001C7DEA" w:rsidRPr="004F0720" w:rsidP="00D61CD1" w14:paraId="1F8F1BB1" w14:textId="77777777">
            <w:pPr>
              <w:spacing w:line="240" w:lineRule="auto"/>
              <w:jc w:val="both"/>
              <w:rPr>
                <w:rFonts w:eastAsia="Times New Roman" w:cs="Times New Roman"/>
                <w:noProof/>
                <w:szCs w:val="24"/>
              </w:rPr>
            </w:pPr>
            <w:r w:rsidRPr="004F0720">
              <w:rPr>
                <w:rFonts w:eastAsia="Times New Roman" w:cs="Times New Roman"/>
                <w:noProof/>
                <w:szCs w:val="24"/>
              </w:rPr>
              <w:t>-</w:t>
            </w:r>
          </w:p>
        </w:tc>
      </w:tr>
      <w:tr w14:paraId="609620B8"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5EC3E51C" w14:textId="77777777">
            <w:pPr>
              <w:spacing w:line="240" w:lineRule="auto"/>
              <w:jc w:val="both"/>
              <w:rPr>
                <w:rFonts w:eastAsia="Times New Roman" w:cs="Times New Roman"/>
                <w:noProof/>
                <w:szCs w:val="24"/>
              </w:rPr>
            </w:pPr>
            <w:r w:rsidRPr="004F0720">
              <w:rPr>
                <w:rFonts w:eastAsia="Times New Roman" w:cs="Times New Roman"/>
                <w:noProof/>
                <w:szCs w:val="24"/>
              </w:rPr>
              <w:t>2003</w:t>
            </w:r>
          </w:p>
        </w:tc>
        <w:tc>
          <w:tcPr>
            <w:tcW w:w="2160" w:type="dxa"/>
            <w:tcMar>
              <w:top w:w="0" w:type="dxa"/>
              <w:left w:w="108" w:type="dxa"/>
              <w:bottom w:w="0" w:type="dxa"/>
              <w:right w:w="108" w:type="dxa"/>
            </w:tcMar>
            <w:hideMark/>
          </w:tcPr>
          <w:p w:rsidR="001C7DEA" w:rsidRPr="004F0720" w:rsidP="00D61CD1" w14:paraId="1C394854" w14:textId="77777777">
            <w:pPr>
              <w:spacing w:line="240" w:lineRule="auto"/>
              <w:jc w:val="both"/>
              <w:rPr>
                <w:rFonts w:eastAsia="Times New Roman" w:cs="Times New Roman"/>
                <w:noProof/>
                <w:szCs w:val="24"/>
              </w:rPr>
            </w:pPr>
            <w:r w:rsidRPr="004F0720">
              <w:rPr>
                <w:rFonts w:eastAsia="Times New Roman" w:cs="Times New Roman"/>
                <w:noProof/>
                <w:szCs w:val="24"/>
              </w:rPr>
              <w:t>BBB-/Stable/A-3</w:t>
            </w:r>
          </w:p>
        </w:tc>
        <w:tc>
          <w:tcPr>
            <w:tcW w:w="2160" w:type="dxa"/>
            <w:tcMar>
              <w:top w:w="0" w:type="dxa"/>
              <w:left w:w="108" w:type="dxa"/>
              <w:bottom w:w="0" w:type="dxa"/>
              <w:right w:w="108" w:type="dxa"/>
            </w:tcMar>
            <w:hideMark/>
          </w:tcPr>
          <w:p w:rsidR="001C7DEA" w:rsidRPr="004F0720" w:rsidP="00D61CD1" w14:paraId="5C987A3B" w14:textId="77777777">
            <w:pPr>
              <w:spacing w:line="240" w:lineRule="auto"/>
              <w:jc w:val="both"/>
              <w:rPr>
                <w:rFonts w:eastAsia="Times New Roman" w:cs="Times New Roman"/>
                <w:noProof/>
                <w:szCs w:val="24"/>
              </w:rPr>
            </w:pPr>
            <w:r w:rsidRPr="004F0720">
              <w:rPr>
                <w:rFonts w:eastAsia="Times New Roman" w:cs="Times New Roman"/>
                <w:noProof/>
                <w:szCs w:val="24"/>
              </w:rPr>
              <w:t>-</w:t>
            </w:r>
          </w:p>
        </w:tc>
      </w:tr>
      <w:tr w14:paraId="1ECE849B"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7A721346" w14:textId="77777777">
            <w:pPr>
              <w:spacing w:line="240" w:lineRule="auto"/>
              <w:jc w:val="both"/>
              <w:rPr>
                <w:rFonts w:eastAsia="Times New Roman" w:cs="Times New Roman"/>
                <w:noProof/>
                <w:szCs w:val="24"/>
              </w:rPr>
            </w:pPr>
            <w:r w:rsidRPr="004F0720">
              <w:rPr>
                <w:rFonts w:eastAsia="Times New Roman" w:cs="Times New Roman"/>
                <w:noProof/>
                <w:szCs w:val="24"/>
              </w:rPr>
              <w:t>2004</w:t>
            </w:r>
          </w:p>
        </w:tc>
        <w:tc>
          <w:tcPr>
            <w:tcW w:w="2160" w:type="dxa"/>
            <w:tcMar>
              <w:top w:w="0" w:type="dxa"/>
              <w:left w:w="108" w:type="dxa"/>
              <w:bottom w:w="0" w:type="dxa"/>
              <w:right w:w="108" w:type="dxa"/>
            </w:tcMar>
            <w:hideMark/>
          </w:tcPr>
          <w:p w:rsidR="001C7DEA" w:rsidRPr="004F0720" w:rsidP="00D61CD1" w14:paraId="055A5BDF" w14:textId="77777777">
            <w:pPr>
              <w:spacing w:line="240" w:lineRule="auto"/>
              <w:jc w:val="both"/>
              <w:rPr>
                <w:rFonts w:eastAsia="Times New Roman" w:cs="Times New Roman"/>
                <w:noProof/>
                <w:szCs w:val="24"/>
              </w:rPr>
            </w:pPr>
            <w:r w:rsidRPr="004F0720">
              <w:rPr>
                <w:rFonts w:eastAsia="Times New Roman" w:cs="Times New Roman"/>
                <w:noProof/>
                <w:szCs w:val="24"/>
              </w:rPr>
              <w:t>BBB-/Stable/A-3</w:t>
            </w:r>
          </w:p>
        </w:tc>
        <w:tc>
          <w:tcPr>
            <w:tcW w:w="2160" w:type="dxa"/>
            <w:tcMar>
              <w:top w:w="0" w:type="dxa"/>
              <w:left w:w="108" w:type="dxa"/>
              <w:bottom w:w="0" w:type="dxa"/>
              <w:right w:w="108" w:type="dxa"/>
            </w:tcMar>
            <w:hideMark/>
          </w:tcPr>
          <w:p w:rsidR="001C7DEA" w:rsidRPr="004F0720" w:rsidP="00D61CD1" w14:paraId="76831BCD" w14:textId="77777777">
            <w:pPr>
              <w:spacing w:line="240" w:lineRule="auto"/>
              <w:jc w:val="both"/>
              <w:rPr>
                <w:rFonts w:eastAsia="Times New Roman" w:cs="Times New Roman"/>
                <w:noProof/>
                <w:szCs w:val="24"/>
              </w:rPr>
            </w:pPr>
            <w:r w:rsidRPr="004F0720">
              <w:rPr>
                <w:rFonts w:eastAsia="Times New Roman" w:cs="Times New Roman"/>
                <w:noProof/>
                <w:szCs w:val="24"/>
              </w:rPr>
              <w:t>-</w:t>
            </w:r>
          </w:p>
        </w:tc>
      </w:tr>
      <w:tr w14:paraId="5A839007"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73C1EEF8" w14:textId="77777777">
            <w:pPr>
              <w:spacing w:line="240" w:lineRule="auto"/>
              <w:jc w:val="both"/>
              <w:rPr>
                <w:rFonts w:eastAsia="Times New Roman" w:cs="Times New Roman"/>
                <w:noProof/>
                <w:szCs w:val="24"/>
              </w:rPr>
            </w:pPr>
            <w:r w:rsidRPr="004F0720">
              <w:rPr>
                <w:rFonts w:eastAsia="Times New Roman" w:cs="Times New Roman"/>
                <w:noProof/>
                <w:szCs w:val="24"/>
              </w:rPr>
              <w:t>2005</w:t>
            </w:r>
          </w:p>
        </w:tc>
        <w:tc>
          <w:tcPr>
            <w:tcW w:w="2160" w:type="dxa"/>
            <w:tcMar>
              <w:top w:w="0" w:type="dxa"/>
              <w:left w:w="108" w:type="dxa"/>
              <w:bottom w:w="0" w:type="dxa"/>
              <w:right w:w="108" w:type="dxa"/>
            </w:tcMar>
            <w:hideMark/>
          </w:tcPr>
          <w:p w:rsidR="001C7DEA" w:rsidRPr="004F0720" w:rsidP="00D61CD1" w14:paraId="71F996ED" w14:textId="77777777">
            <w:pPr>
              <w:spacing w:line="240" w:lineRule="auto"/>
              <w:jc w:val="both"/>
              <w:rPr>
                <w:rFonts w:eastAsia="Times New Roman" w:cs="Times New Roman"/>
                <w:noProof/>
                <w:szCs w:val="24"/>
              </w:rPr>
            </w:pPr>
            <w:r w:rsidRPr="004F0720">
              <w:rPr>
                <w:rFonts w:eastAsia="Times New Roman" w:cs="Times New Roman"/>
                <w:noProof/>
                <w:szCs w:val="24"/>
              </w:rPr>
              <w:t>BBB/Stable/A-3</w:t>
            </w:r>
          </w:p>
        </w:tc>
        <w:tc>
          <w:tcPr>
            <w:tcW w:w="2160" w:type="dxa"/>
            <w:tcMar>
              <w:top w:w="0" w:type="dxa"/>
              <w:left w:w="108" w:type="dxa"/>
              <w:bottom w:w="0" w:type="dxa"/>
              <w:right w:w="108" w:type="dxa"/>
            </w:tcMar>
            <w:hideMark/>
          </w:tcPr>
          <w:p w:rsidR="001C7DEA" w:rsidRPr="004F0720" w:rsidP="00D61CD1" w14:paraId="0F20059A" w14:textId="77777777">
            <w:pPr>
              <w:spacing w:line="240" w:lineRule="auto"/>
              <w:jc w:val="both"/>
              <w:rPr>
                <w:rFonts w:eastAsia="Times New Roman" w:cs="Times New Roman"/>
                <w:noProof/>
                <w:szCs w:val="24"/>
              </w:rPr>
            </w:pPr>
            <w:r w:rsidRPr="004F0720">
              <w:rPr>
                <w:rFonts w:eastAsia="Times New Roman" w:cs="Times New Roman"/>
                <w:noProof/>
                <w:szCs w:val="24"/>
              </w:rPr>
              <w:t>-</w:t>
            </w:r>
          </w:p>
        </w:tc>
      </w:tr>
      <w:tr w14:paraId="7538F98A"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04394765" w14:textId="77777777">
            <w:pPr>
              <w:spacing w:line="240" w:lineRule="auto"/>
              <w:jc w:val="both"/>
              <w:rPr>
                <w:rFonts w:eastAsia="Times New Roman" w:cs="Times New Roman"/>
                <w:noProof/>
                <w:szCs w:val="24"/>
              </w:rPr>
            </w:pPr>
            <w:r w:rsidRPr="004F0720">
              <w:rPr>
                <w:rFonts w:eastAsia="Times New Roman" w:cs="Times New Roman"/>
                <w:noProof/>
                <w:szCs w:val="24"/>
              </w:rPr>
              <w:t>2006</w:t>
            </w:r>
          </w:p>
        </w:tc>
        <w:tc>
          <w:tcPr>
            <w:tcW w:w="2160" w:type="dxa"/>
            <w:tcMar>
              <w:top w:w="0" w:type="dxa"/>
              <w:left w:w="108" w:type="dxa"/>
              <w:bottom w:w="0" w:type="dxa"/>
              <w:right w:w="108" w:type="dxa"/>
            </w:tcMar>
            <w:hideMark/>
          </w:tcPr>
          <w:p w:rsidR="001C7DEA" w:rsidRPr="004F0720" w:rsidP="00D61CD1" w14:paraId="2474A1EB" w14:textId="77777777">
            <w:pPr>
              <w:spacing w:line="240" w:lineRule="auto"/>
              <w:jc w:val="both"/>
              <w:rPr>
                <w:rFonts w:eastAsia="Times New Roman" w:cs="Times New Roman"/>
                <w:noProof/>
                <w:szCs w:val="24"/>
              </w:rPr>
            </w:pPr>
            <w:r w:rsidRPr="004F0720">
              <w:rPr>
                <w:rFonts w:eastAsia="Times New Roman" w:cs="Times New Roman"/>
                <w:noProof/>
                <w:szCs w:val="24"/>
              </w:rPr>
              <w:t>BBB/Stable/A-3</w:t>
            </w:r>
          </w:p>
        </w:tc>
        <w:tc>
          <w:tcPr>
            <w:tcW w:w="2160" w:type="dxa"/>
            <w:tcMar>
              <w:top w:w="0" w:type="dxa"/>
              <w:left w:w="108" w:type="dxa"/>
              <w:bottom w:w="0" w:type="dxa"/>
              <w:right w:w="108" w:type="dxa"/>
            </w:tcMar>
            <w:hideMark/>
          </w:tcPr>
          <w:p w:rsidR="001C7DEA" w:rsidRPr="004F0720" w:rsidP="00D61CD1" w14:paraId="29747F00" w14:textId="77777777">
            <w:pPr>
              <w:spacing w:line="240" w:lineRule="auto"/>
              <w:jc w:val="both"/>
              <w:rPr>
                <w:rFonts w:eastAsia="Times New Roman" w:cs="Times New Roman"/>
                <w:noProof/>
                <w:szCs w:val="24"/>
              </w:rPr>
            </w:pPr>
            <w:r w:rsidRPr="004F0720">
              <w:rPr>
                <w:rFonts w:eastAsia="Times New Roman" w:cs="Times New Roman"/>
                <w:noProof/>
                <w:szCs w:val="24"/>
              </w:rPr>
              <w:t>A2 Stable</w:t>
            </w:r>
          </w:p>
        </w:tc>
      </w:tr>
      <w:tr w14:paraId="28DD0AC6"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25CA1B78" w14:textId="77777777">
            <w:pPr>
              <w:spacing w:line="240" w:lineRule="auto"/>
              <w:jc w:val="both"/>
              <w:rPr>
                <w:rFonts w:eastAsia="Times New Roman" w:cs="Times New Roman"/>
                <w:noProof/>
                <w:szCs w:val="24"/>
              </w:rPr>
            </w:pPr>
            <w:r w:rsidRPr="004F0720">
              <w:rPr>
                <w:rFonts w:eastAsia="Times New Roman" w:cs="Times New Roman"/>
                <w:noProof/>
                <w:szCs w:val="24"/>
              </w:rPr>
              <w:t>2007</w:t>
            </w:r>
          </w:p>
        </w:tc>
        <w:tc>
          <w:tcPr>
            <w:tcW w:w="2160" w:type="dxa"/>
            <w:tcMar>
              <w:top w:w="0" w:type="dxa"/>
              <w:left w:w="108" w:type="dxa"/>
              <w:bottom w:w="0" w:type="dxa"/>
              <w:right w:w="108" w:type="dxa"/>
            </w:tcMar>
            <w:hideMark/>
          </w:tcPr>
          <w:p w:rsidR="001C7DEA" w:rsidRPr="004F0720" w:rsidP="00D61CD1" w14:paraId="558C99A4" w14:textId="77777777">
            <w:pPr>
              <w:spacing w:line="240" w:lineRule="auto"/>
              <w:jc w:val="both"/>
              <w:rPr>
                <w:rFonts w:eastAsia="Times New Roman" w:cs="Times New Roman"/>
                <w:noProof/>
                <w:szCs w:val="24"/>
              </w:rPr>
            </w:pPr>
            <w:r w:rsidRPr="004F0720">
              <w:rPr>
                <w:rFonts w:eastAsia="Times New Roman" w:cs="Times New Roman"/>
                <w:noProof/>
                <w:szCs w:val="24"/>
              </w:rPr>
              <w:t>BBB/Stable/A-3</w:t>
            </w:r>
          </w:p>
        </w:tc>
        <w:tc>
          <w:tcPr>
            <w:tcW w:w="2160" w:type="dxa"/>
            <w:tcMar>
              <w:top w:w="0" w:type="dxa"/>
              <w:left w:w="108" w:type="dxa"/>
              <w:bottom w:w="0" w:type="dxa"/>
              <w:right w:w="108" w:type="dxa"/>
            </w:tcMar>
            <w:hideMark/>
          </w:tcPr>
          <w:p w:rsidR="001C7DEA" w:rsidRPr="004F0720" w:rsidP="00D61CD1" w14:paraId="0DEF1A9F" w14:textId="77777777">
            <w:pPr>
              <w:spacing w:line="240" w:lineRule="auto"/>
              <w:jc w:val="both"/>
              <w:rPr>
                <w:rFonts w:eastAsia="Times New Roman" w:cs="Times New Roman"/>
                <w:noProof/>
                <w:szCs w:val="24"/>
              </w:rPr>
            </w:pPr>
            <w:r w:rsidRPr="004F0720">
              <w:rPr>
                <w:rFonts w:eastAsia="Times New Roman" w:cs="Times New Roman"/>
                <w:noProof/>
                <w:szCs w:val="24"/>
              </w:rPr>
              <w:t>A2 Stable</w:t>
            </w:r>
          </w:p>
        </w:tc>
      </w:tr>
      <w:tr w14:paraId="722830D8"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42F30C92" w14:textId="77777777">
            <w:pPr>
              <w:spacing w:line="240" w:lineRule="auto"/>
              <w:jc w:val="both"/>
              <w:rPr>
                <w:rFonts w:eastAsia="Times New Roman" w:cs="Times New Roman"/>
                <w:noProof/>
                <w:szCs w:val="24"/>
              </w:rPr>
            </w:pPr>
            <w:r w:rsidRPr="004F0720">
              <w:rPr>
                <w:rFonts w:eastAsia="Times New Roman" w:cs="Times New Roman"/>
                <w:noProof/>
                <w:szCs w:val="24"/>
              </w:rPr>
              <w:t>2008</w:t>
            </w:r>
          </w:p>
        </w:tc>
        <w:tc>
          <w:tcPr>
            <w:tcW w:w="2160" w:type="dxa"/>
            <w:tcMar>
              <w:top w:w="0" w:type="dxa"/>
              <w:left w:w="108" w:type="dxa"/>
              <w:bottom w:w="0" w:type="dxa"/>
              <w:right w:w="108" w:type="dxa"/>
            </w:tcMar>
            <w:hideMark/>
          </w:tcPr>
          <w:p w:rsidR="001C7DEA" w:rsidRPr="004F0720" w:rsidP="00D61CD1" w14:paraId="01361130" w14:textId="77777777">
            <w:pPr>
              <w:spacing w:line="240" w:lineRule="auto"/>
              <w:jc w:val="both"/>
              <w:rPr>
                <w:rFonts w:eastAsia="Times New Roman" w:cs="Times New Roman"/>
                <w:noProof/>
                <w:szCs w:val="24"/>
              </w:rPr>
            </w:pPr>
            <w:r w:rsidRPr="004F0720">
              <w:rPr>
                <w:rFonts w:eastAsia="Times New Roman" w:cs="Times New Roman"/>
                <w:noProof/>
                <w:szCs w:val="24"/>
              </w:rPr>
              <w:t>BBB-/Negative/A-3</w:t>
            </w:r>
          </w:p>
        </w:tc>
        <w:tc>
          <w:tcPr>
            <w:tcW w:w="2160" w:type="dxa"/>
            <w:tcMar>
              <w:top w:w="0" w:type="dxa"/>
              <w:left w:w="108" w:type="dxa"/>
              <w:bottom w:w="0" w:type="dxa"/>
              <w:right w:w="108" w:type="dxa"/>
            </w:tcMar>
            <w:hideMark/>
          </w:tcPr>
          <w:p w:rsidR="001C7DEA" w:rsidRPr="004F0720" w:rsidP="00D61CD1" w14:paraId="123E113E" w14:textId="77777777">
            <w:pPr>
              <w:spacing w:line="240" w:lineRule="auto"/>
              <w:jc w:val="both"/>
              <w:rPr>
                <w:rFonts w:eastAsia="Times New Roman" w:cs="Times New Roman"/>
                <w:noProof/>
                <w:szCs w:val="24"/>
              </w:rPr>
            </w:pPr>
            <w:r w:rsidRPr="004F0720">
              <w:rPr>
                <w:rFonts w:eastAsia="Times New Roman" w:cs="Times New Roman"/>
                <w:noProof/>
                <w:szCs w:val="24"/>
              </w:rPr>
              <w:t>A3 Negative</w:t>
            </w:r>
          </w:p>
        </w:tc>
      </w:tr>
      <w:tr w14:paraId="52D3548C"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0AE6B217" w14:textId="77777777">
            <w:pPr>
              <w:spacing w:line="240" w:lineRule="auto"/>
              <w:jc w:val="both"/>
              <w:rPr>
                <w:rFonts w:eastAsia="Times New Roman" w:cs="Times New Roman"/>
                <w:noProof/>
                <w:szCs w:val="24"/>
              </w:rPr>
            </w:pPr>
            <w:r w:rsidRPr="004F0720">
              <w:rPr>
                <w:rFonts w:eastAsia="Times New Roman" w:cs="Times New Roman"/>
                <w:noProof/>
                <w:szCs w:val="24"/>
              </w:rPr>
              <w:t>2009</w:t>
            </w:r>
          </w:p>
        </w:tc>
        <w:tc>
          <w:tcPr>
            <w:tcW w:w="2160" w:type="dxa"/>
            <w:tcMar>
              <w:top w:w="0" w:type="dxa"/>
              <w:left w:w="108" w:type="dxa"/>
              <w:bottom w:w="0" w:type="dxa"/>
              <w:right w:w="108" w:type="dxa"/>
            </w:tcMar>
            <w:hideMark/>
          </w:tcPr>
          <w:p w:rsidR="001C7DEA" w:rsidRPr="004F0720" w:rsidP="00D61CD1" w14:paraId="4F4ACF88" w14:textId="77777777">
            <w:pPr>
              <w:spacing w:line="240" w:lineRule="auto"/>
              <w:jc w:val="both"/>
              <w:rPr>
                <w:rFonts w:eastAsia="Times New Roman" w:cs="Times New Roman"/>
                <w:noProof/>
                <w:szCs w:val="24"/>
              </w:rPr>
            </w:pPr>
            <w:r w:rsidRPr="004F0720">
              <w:rPr>
                <w:rFonts w:eastAsia="Times New Roman" w:cs="Times New Roman"/>
                <w:noProof/>
                <w:szCs w:val="24"/>
              </w:rPr>
              <w:t>BB/Negative/B</w:t>
            </w:r>
          </w:p>
        </w:tc>
        <w:tc>
          <w:tcPr>
            <w:tcW w:w="2160" w:type="dxa"/>
            <w:tcMar>
              <w:top w:w="0" w:type="dxa"/>
              <w:left w:w="108" w:type="dxa"/>
              <w:bottom w:w="0" w:type="dxa"/>
              <w:right w:w="108" w:type="dxa"/>
            </w:tcMar>
            <w:hideMark/>
          </w:tcPr>
          <w:p w:rsidR="001C7DEA" w:rsidRPr="004F0720" w:rsidP="00D61CD1" w14:paraId="04087092" w14:textId="77777777">
            <w:pPr>
              <w:spacing w:line="240" w:lineRule="auto"/>
              <w:jc w:val="both"/>
              <w:rPr>
                <w:rFonts w:eastAsia="Times New Roman" w:cs="Times New Roman"/>
                <w:noProof/>
                <w:szCs w:val="24"/>
              </w:rPr>
            </w:pPr>
            <w:r w:rsidRPr="004F0720">
              <w:rPr>
                <w:rFonts w:eastAsia="Times New Roman" w:cs="Times New Roman"/>
                <w:noProof/>
                <w:szCs w:val="24"/>
              </w:rPr>
              <w:t>Baa3 Negative</w:t>
            </w:r>
          </w:p>
        </w:tc>
      </w:tr>
      <w:tr w14:paraId="7C54636D"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105F71F4" w14:textId="77777777">
            <w:pPr>
              <w:spacing w:line="240" w:lineRule="auto"/>
              <w:jc w:val="both"/>
              <w:rPr>
                <w:rFonts w:eastAsia="Times New Roman" w:cs="Times New Roman"/>
                <w:noProof/>
                <w:szCs w:val="24"/>
              </w:rPr>
            </w:pPr>
            <w:r w:rsidRPr="004F0720">
              <w:rPr>
                <w:rFonts w:eastAsia="Times New Roman" w:cs="Times New Roman"/>
                <w:noProof/>
                <w:szCs w:val="24"/>
              </w:rPr>
              <w:t>2010</w:t>
            </w:r>
          </w:p>
        </w:tc>
        <w:tc>
          <w:tcPr>
            <w:tcW w:w="2160" w:type="dxa"/>
            <w:tcMar>
              <w:top w:w="0" w:type="dxa"/>
              <w:left w:w="108" w:type="dxa"/>
              <w:bottom w:w="0" w:type="dxa"/>
              <w:right w:w="108" w:type="dxa"/>
            </w:tcMar>
            <w:hideMark/>
          </w:tcPr>
          <w:p w:rsidR="001C7DEA" w:rsidRPr="004F0720" w:rsidP="00D61CD1" w14:paraId="38A3511E" w14:textId="77777777">
            <w:pPr>
              <w:spacing w:line="240" w:lineRule="auto"/>
              <w:jc w:val="both"/>
              <w:rPr>
                <w:rFonts w:eastAsia="Times New Roman" w:cs="Times New Roman"/>
                <w:noProof/>
                <w:szCs w:val="24"/>
              </w:rPr>
            </w:pPr>
            <w:r w:rsidRPr="004F0720">
              <w:rPr>
                <w:rFonts w:eastAsia="Times New Roman" w:cs="Times New Roman"/>
                <w:noProof/>
                <w:szCs w:val="24"/>
              </w:rPr>
              <w:t>BB/Stable/B</w:t>
            </w:r>
          </w:p>
        </w:tc>
        <w:tc>
          <w:tcPr>
            <w:tcW w:w="2160" w:type="dxa"/>
            <w:tcMar>
              <w:top w:w="0" w:type="dxa"/>
              <w:left w:w="108" w:type="dxa"/>
              <w:bottom w:w="0" w:type="dxa"/>
              <w:right w:w="108" w:type="dxa"/>
            </w:tcMar>
            <w:hideMark/>
          </w:tcPr>
          <w:p w:rsidR="001C7DEA" w:rsidRPr="004F0720" w:rsidP="00D61CD1" w14:paraId="6C6BBD91" w14:textId="77777777">
            <w:pPr>
              <w:spacing w:line="240" w:lineRule="auto"/>
              <w:jc w:val="both"/>
              <w:rPr>
                <w:rFonts w:eastAsia="Times New Roman" w:cs="Times New Roman"/>
                <w:noProof/>
                <w:szCs w:val="24"/>
              </w:rPr>
            </w:pPr>
            <w:r w:rsidRPr="004F0720">
              <w:rPr>
                <w:rFonts w:eastAsia="Times New Roman" w:cs="Times New Roman"/>
                <w:noProof/>
                <w:szCs w:val="24"/>
              </w:rPr>
              <w:t>Baa3 Stable</w:t>
            </w:r>
          </w:p>
        </w:tc>
      </w:tr>
      <w:tr w14:paraId="63D70E44"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4C774143" w14:textId="77777777">
            <w:pPr>
              <w:spacing w:line="240" w:lineRule="auto"/>
              <w:jc w:val="both"/>
              <w:rPr>
                <w:rFonts w:eastAsia="Times New Roman" w:cs="Times New Roman"/>
                <w:noProof/>
                <w:szCs w:val="24"/>
              </w:rPr>
            </w:pPr>
            <w:r w:rsidRPr="004F0720">
              <w:rPr>
                <w:rFonts w:eastAsia="Times New Roman" w:cs="Times New Roman"/>
                <w:noProof/>
                <w:szCs w:val="24"/>
              </w:rPr>
              <w:t>2011</w:t>
            </w:r>
          </w:p>
        </w:tc>
        <w:tc>
          <w:tcPr>
            <w:tcW w:w="2160" w:type="dxa"/>
            <w:tcMar>
              <w:top w:w="0" w:type="dxa"/>
              <w:left w:w="108" w:type="dxa"/>
              <w:bottom w:w="0" w:type="dxa"/>
              <w:right w:w="108" w:type="dxa"/>
            </w:tcMar>
            <w:hideMark/>
          </w:tcPr>
          <w:p w:rsidR="001C7DEA" w:rsidRPr="004F0720" w:rsidP="00D61CD1" w14:paraId="160F7A23" w14:textId="77777777">
            <w:pPr>
              <w:spacing w:line="240" w:lineRule="auto"/>
              <w:jc w:val="both"/>
              <w:rPr>
                <w:rFonts w:eastAsia="Times New Roman" w:cs="Times New Roman"/>
                <w:noProof/>
                <w:szCs w:val="24"/>
              </w:rPr>
            </w:pPr>
            <w:r w:rsidRPr="004F0720">
              <w:rPr>
                <w:rFonts w:eastAsia="Times New Roman" w:cs="Times New Roman"/>
                <w:noProof/>
                <w:szCs w:val="24"/>
              </w:rPr>
              <w:t>BB+/Stable/B</w:t>
            </w:r>
          </w:p>
        </w:tc>
        <w:tc>
          <w:tcPr>
            <w:tcW w:w="2160" w:type="dxa"/>
            <w:tcMar>
              <w:top w:w="0" w:type="dxa"/>
              <w:left w:w="108" w:type="dxa"/>
              <w:bottom w:w="0" w:type="dxa"/>
              <w:right w:w="108" w:type="dxa"/>
            </w:tcMar>
            <w:hideMark/>
          </w:tcPr>
          <w:p w:rsidR="001C7DEA" w:rsidRPr="004F0720" w:rsidP="00D61CD1" w14:paraId="6ACD5F8A" w14:textId="77777777">
            <w:pPr>
              <w:spacing w:line="240" w:lineRule="auto"/>
              <w:jc w:val="both"/>
              <w:rPr>
                <w:rFonts w:eastAsia="Times New Roman" w:cs="Times New Roman"/>
                <w:noProof/>
                <w:szCs w:val="24"/>
              </w:rPr>
            </w:pPr>
            <w:r w:rsidRPr="004F0720">
              <w:rPr>
                <w:rFonts w:eastAsia="Times New Roman" w:cs="Times New Roman"/>
                <w:noProof/>
                <w:szCs w:val="24"/>
              </w:rPr>
              <w:t>Baa3 Stable</w:t>
            </w:r>
          </w:p>
        </w:tc>
      </w:tr>
      <w:tr w14:paraId="02DFC780"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4C4B3E83" w14:textId="77777777">
            <w:pPr>
              <w:spacing w:line="240" w:lineRule="auto"/>
              <w:jc w:val="both"/>
              <w:rPr>
                <w:rFonts w:eastAsia="Times New Roman" w:cs="Times New Roman"/>
                <w:noProof/>
                <w:szCs w:val="24"/>
              </w:rPr>
            </w:pPr>
            <w:r w:rsidRPr="004F0720">
              <w:rPr>
                <w:rFonts w:eastAsia="Times New Roman" w:cs="Times New Roman"/>
                <w:noProof/>
                <w:szCs w:val="24"/>
              </w:rPr>
              <w:t>2012</w:t>
            </w:r>
          </w:p>
        </w:tc>
        <w:tc>
          <w:tcPr>
            <w:tcW w:w="2160" w:type="dxa"/>
            <w:tcMar>
              <w:top w:w="0" w:type="dxa"/>
              <w:left w:w="108" w:type="dxa"/>
              <w:bottom w:w="0" w:type="dxa"/>
              <w:right w:w="108" w:type="dxa"/>
            </w:tcMar>
            <w:hideMark/>
          </w:tcPr>
          <w:p w:rsidR="001C7DEA" w:rsidRPr="004F0720" w:rsidP="00D61CD1" w14:paraId="7DAA126F" w14:textId="77777777">
            <w:pPr>
              <w:spacing w:line="240" w:lineRule="auto"/>
              <w:jc w:val="both"/>
              <w:rPr>
                <w:rFonts w:eastAsia="Times New Roman" w:cs="Times New Roman"/>
                <w:noProof/>
                <w:szCs w:val="24"/>
              </w:rPr>
            </w:pPr>
            <w:r w:rsidRPr="004F0720">
              <w:rPr>
                <w:rFonts w:eastAsia="Times New Roman" w:cs="Times New Roman"/>
                <w:noProof/>
                <w:szCs w:val="24"/>
              </w:rPr>
              <w:t>BBB/ Positive/</w:t>
            </w:r>
            <w:r w:rsidRPr="004F0720">
              <w:rPr>
                <w:rFonts w:eastAsia="Times New Roman" w:cs="Times New Roman"/>
                <w:noProof/>
                <w:sz w:val="20"/>
                <w:szCs w:val="20"/>
              </w:rPr>
              <w:t xml:space="preserve"> </w:t>
            </w:r>
            <w:r w:rsidRPr="004F0720">
              <w:rPr>
                <w:rFonts w:eastAsia="Times New Roman" w:cs="Times New Roman"/>
                <w:noProof/>
                <w:szCs w:val="24"/>
              </w:rPr>
              <w:t>A-2</w:t>
            </w:r>
          </w:p>
        </w:tc>
        <w:tc>
          <w:tcPr>
            <w:tcW w:w="2160" w:type="dxa"/>
            <w:tcMar>
              <w:top w:w="0" w:type="dxa"/>
              <w:left w:w="108" w:type="dxa"/>
              <w:bottom w:w="0" w:type="dxa"/>
              <w:right w:w="108" w:type="dxa"/>
            </w:tcMar>
            <w:hideMark/>
          </w:tcPr>
          <w:p w:rsidR="001C7DEA" w:rsidRPr="004F0720" w:rsidP="00D61CD1" w14:paraId="00922D48" w14:textId="77777777">
            <w:pPr>
              <w:spacing w:line="240" w:lineRule="auto"/>
              <w:jc w:val="both"/>
              <w:rPr>
                <w:rFonts w:eastAsia="Times New Roman" w:cs="Times New Roman"/>
                <w:noProof/>
                <w:szCs w:val="24"/>
              </w:rPr>
            </w:pPr>
            <w:r w:rsidRPr="004F0720">
              <w:rPr>
                <w:rFonts w:eastAsia="Times New Roman" w:cs="Times New Roman"/>
                <w:noProof/>
                <w:szCs w:val="24"/>
              </w:rPr>
              <w:t>Baa3 Stable</w:t>
            </w:r>
          </w:p>
        </w:tc>
      </w:tr>
      <w:tr w14:paraId="3E8B3C46"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5DF530A6" w14:textId="77777777">
            <w:pPr>
              <w:spacing w:line="240" w:lineRule="auto"/>
              <w:jc w:val="both"/>
              <w:rPr>
                <w:rFonts w:eastAsia="Times New Roman" w:cs="Times New Roman"/>
                <w:noProof/>
                <w:szCs w:val="24"/>
              </w:rPr>
            </w:pPr>
            <w:r w:rsidRPr="004F0720">
              <w:rPr>
                <w:rFonts w:eastAsia="Times New Roman" w:cs="Times New Roman"/>
                <w:noProof/>
                <w:szCs w:val="24"/>
              </w:rPr>
              <w:t>2013</w:t>
            </w:r>
          </w:p>
        </w:tc>
        <w:tc>
          <w:tcPr>
            <w:tcW w:w="2160" w:type="dxa"/>
            <w:tcMar>
              <w:top w:w="0" w:type="dxa"/>
              <w:left w:w="108" w:type="dxa"/>
              <w:bottom w:w="0" w:type="dxa"/>
              <w:right w:w="108" w:type="dxa"/>
            </w:tcMar>
            <w:hideMark/>
          </w:tcPr>
          <w:p w:rsidR="001C7DEA" w:rsidRPr="004F0720" w:rsidP="00D61CD1" w14:paraId="225829A8" w14:textId="77777777">
            <w:pPr>
              <w:spacing w:line="240" w:lineRule="auto"/>
              <w:jc w:val="both"/>
              <w:rPr>
                <w:rFonts w:eastAsia="Times New Roman" w:cs="Times New Roman"/>
                <w:noProof/>
                <w:szCs w:val="24"/>
              </w:rPr>
            </w:pPr>
            <w:r w:rsidRPr="004F0720">
              <w:rPr>
                <w:rFonts w:eastAsia="Times New Roman" w:cs="Times New Roman"/>
                <w:noProof/>
                <w:szCs w:val="24"/>
              </w:rPr>
              <w:t>BBB/ Positive/</w:t>
            </w:r>
            <w:r w:rsidRPr="004F0720">
              <w:rPr>
                <w:rFonts w:eastAsia="Times New Roman" w:cs="Times New Roman"/>
                <w:noProof/>
                <w:sz w:val="20"/>
                <w:szCs w:val="20"/>
              </w:rPr>
              <w:t xml:space="preserve"> </w:t>
            </w:r>
            <w:r w:rsidRPr="004F0720">
              <w:rPr>
                <w:rFonts w:eastAsia="Times New Roman" w:cs="Times New Roman"/>
                <w:noProof/>
                <w:szCs w:val="24"/>
              </w:rPr>
              <w:t>A-2</w:t>
            </w:r>
          </w:p>
        </w:tc>
        <w:tc>
          <w:tcPr>
            <w:tcW w:w="2160" w:type="dxa"/>
            <w:tcMar>
              <w:top w:w="0" w:type="dxa"/>
              <w:left w:w="108" w:type="dxa"/>
              <w:bottom w:w="0" w:type="dxa"/>
              <w:right w:w="108" w:type="dxa"/>
            </w:tcMar>
            <w:hideMark/>
          </w:tcPr>
          <w:p w:rsidR="001C7DEA" w:rsidRPr="004F0720" w:rsidP="00D61CD1" w14:paraId="2B42D8FD" w14:textId="77777777">
            <w:pPr>
              <w:spacing w:line="240" w:lineRule="auto"/>
              <w:jc w:val="both"/>
              <w:rPr>
                <w:rFonts w:eastAsia="Times New Roman" w:cs="Times New Roman"/>
                <w:noProof/>
                <w:szCs w:val="24"/>
              </w:rPr>
            </w:pPr>
            <w:r w:rsidRPr="004F0720">
              <w:rPr>
                <w:rFonts w:eastAsia="Times New Roman" w:cs="Times New Roman"/>
                <w:noProof/>
                <w:szCs w:val="24"/>
              </w:rPr>
              <w:t>Baa3 Positive</w:t>
            </w:r>
          </w:p>
        </w:tc>
      </w:tr>
      <w:tr w14:paraId="3B703A08"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7E942583" w14:textId="77777777">
            <w:pPr>
              <w:spacing w:line="240" w:lineRule="auto"/>
              <w:jc w:val="both"/>
              <w:rPr>
                <w:rFonts w:eastAsia="Times New Roman" w:cs="Times New Roman"/>
                <w:noProof/>
                <w:szCs w:val="24"/>
              </w:rPr>
            </w:pPr>
            <w:r w:rsidRPr="004F0720">
              <w:rPr>
                <w:rFonts w:eastAsia="Times New Roman" w:cs="Times New Roman"/>
                <w:noProof/>
                <w:szCs w:val="24"/>
              </w:rPr>
              <w:t>2014</w:t>
            </w:r>
          </w:p>
        </w:tc>
        <w:tc>
          <w:tcPr>
            <w:tcW w:w="2160" w:type="dxa"/>
            <w:tcMar>
              <w:top w:w="0" w:type="dxa"/>
              <w:left w:w="108" w:type="dxa"/>
              <w:bottom w:w="0" w:type="dxa"/>
              <w:right w:w="108" w:type="dxa"/>
            </w:tcMar>
            <w:hideMark/>
          </w:tcPr>
          <w:p w:rsidR="001C7DEA" w:rsidRPr="004F0720" w:rsidP="00D61CD1" w14:paraId="14701BDD" w14:textId="77777777">
            <w:pPr>
              <w:spacing w:line="240" w:lineRule="auto"/>
              <w:jc w:val="both"/>
              <w:rPr>
                <w:rFonts w:eastAsia="Times New Roman" w:cs="Times New Roman"/>
                <w:noProof/>
                <w:szCs w:val="24"/>
              </w:rPr>
            </w:pPr>
            <w:r w:rsidRPr="004F0720">
              <w:rPr>
                <w:rFonts w:eastAsia="Times New Roman" w:cs="Times New Roman"/>
                <w:noProof/>
                <w:szCs w:val="24"/>
              </w:rPr>
              <w:t>BBB+/Stable/A-2</w:t>
            </w:r>
          </w:p>
        </w:tc>
        <w:tc>
          <w:tcPr>
            <w:tcW w:w="2160" w:type="dxa"/>
            <w:tcMar>
              <w:top w:w="0" w:type="dxa"/>
              <w:left w:w="108" w:type="dxa"/>
              <w:bottom w:w="0" w:type="dxa"/>
              <w:right w:w="108" w:type="dxa"/>
            </w:tcMar>
            <w:hideMark/>
          </w:tcPr>
          <w:p w:rsidR="001C7DEA" w:rsidRPr="004F0720" w:rsidP="00D61CD1" w14:paraId="2BE997C5" w14:textId="77777777">
            <w:pPr>
              <w:spacing w:line="240" w:lineRule="auto"/>
              <w:jc w:val="both"/>
              <w:rPr>
                <w:rFonts w:eastAsia="Times New Roman" w:cs="Times New Roman"/>
                <w:noProof/>
                <w:szCs w:val="24"/>
              </w:rPr>
            </w:pPr>
            <w:r w:rsidRPr="004F0720">
              <w:rPr>
                <w:rFonts w:eastAsia="Times New Roman" w:cs="Times New Roman"/>
                <w:noProof/>
                <w:szCs w:val="24"/>
              </w:rPr>
              <w:t xml:space="preserve">Baa2 Stable </w:t>
            </w:r>
          </w:p>
        </w:tc>
      </w:tr>
      <w:tr w14:paraId="6E4FA0C2"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5B6F1A19" w14:textId="77777777">
            <w:pPr>
              <w:spacing w:line="240" w:lineRule="auto"/>
              <w:jc w:val="both"/>
              <w:rPr>
                <w:rFonts w:eastAsia="Times New Roman" w:cs="Times New Roman"/>
                <w:noProof/>
                <w:szCs w:val="24"/>
              </w:rPr>
            </w:pPr>
            <w:r w:rsidRPr="004F0720">
              <w:rPr>
                <w:rFonts w:eastAsia="Times New Roman" w:cs="Times New Roman"/>
                <w:noProof/>
                <w:szCs w:val="24"/>
              </w:rPr>
              <w:t>2015</w:t>
            </w:r>
          </w:p>
        </w:tc>
        <w:tc>
          <w:tcPr>
            <w:tcW w:w="2160" w:type="dxa"/>
            <w:tcMar>
              <w:top w:w="0" w:type="dxa"/>
              <w:left w:w="108" w:type="dxa"/>
              <w:bottom w:w="0" w:type="dxa"/>
              <w:right w:w="108" w:type="dxa"/>
            </w:tcMar>
            <w:hideMark/>
          </w:tcPr>
          <w:p w:rsidR="001C7DEA" w:rsidRPr="004F0720" w:rsidP="00D61CD1" w14:paraId="50491F13" w14:textId="77777777">
            <w:pPr>
              <w:spacing w:line="240" w:lineRule="auto"/>
              <w:jc w:val="both"/>
              <w:rPr>
                <w:rFonts w:eastAsia="Times New Roman" w:cs="Times New Roman"/>
                <w:noProof/>
                <w:szCs w:val="24"/>
              </w:rPr>
            </w:pPr>
            <w:r w:rsidRPr="004F0720">
              <w:rPr>
                <w:rFonts w:eastAsia="Times New Roman" w:cs="Times New Roman"/>
                <w:noProof/>
                <w:szCs w:val="24"/>
              </w:rPr>
              <w:t>BBB+/Stable/A-2</w:t>
            </w:r>
          </w:p>
        </w:tc>
        <w:tc>
          <w:tcPr>
            <w:tcW w:w="2160" w:type="dxa"/>
            <w:tcMar>
              <w:top w:w="0" w:type="dxa"/>
              <w:left w:w="108" w:type="dxa"/>
              <w:bottom w:w="0" w:type="dxa"/>
              <w:right w:w="108" w:type="dxa"/>
            </w:tcMar>
            <w:hideMark/>
          </w:tcPr>
          <w:p w:rsidR="001C7DEA" w:rsidRPr="004F0720" w:rsidP="00D61CD1" w14:paraId="203A0E9F" w14:textId="77777777">
            <w:pPr>
              <w:spacing w:line="240" w:lineRule="auto"/>
              <w:jc w:val="both"/>
              <w:rPr>
                <w:rFonts w:eastAsia="Times New Roman" w:cs="Times New Roman"/>
                <w:noProof/>
                <w:szCs w:val="24"/>
              </w:rPr>
            </w:pPr>
            <w:r w:rsidRPr="004F0720">
              <w:rPr>
                <w:rFonts w:eastAsia="Times New Roman" w:cs="Times New Roman"/>
                <w:noProof/>
                <w:szCs w:val="24"/>
              </w:rPr>
              <w:t>Baa1 Stable</w:t>
            </w:r>
          </w:p>
        </w:tc>
      </w:tr>
      <w:tr w14:paraId="5B880CAD"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7FD718C0" w14:textId="77777777">
            <w:pPr>
              <w:spacing w:line="240" w:lineRule="auto"/>
              <w:jc w:val="both"/>
              <w:rPr>
                <w:rFonts w:eastAsia="Times New Roman" w:cs="Times New Roman"/>
                <w:noProof/>
                <w:szCs w:val="24"/>
              </w:rPr>
            </w:pPr>
            <w:r w:rsidRPr="004F0720">
              <w:rPr>
                <w:rFonts w:eastAsia="Times New Roman" w:cs="Times New Roman"/>
                <w:noProof/>
                <w:szCs w:val="24"/>
              </w:rPr>
              <w:t>2016</w:t>
            </w:r>
          </w:p>
        </w:tc>
        <w:tc>
          <w:tcPr>
            <w:tcW w:w="2160" w:type="dxa"/>
            <w:tcMar>
              <w:top w:w="0" w:type="dxa"/>
              <w:left w:w="108" w:type="dxa"/>
              <w:bottom w:w="0" w:type="dxa"/>
              <w:right w:w="108" w:type="dxa"/>
            </w:tcMar>
            <w:hideMark/>
          </w:tcPr>
          <w:p w:rsidR="001C7DEA" w:rsidRPr="004F0720" w:rsidP="00D61CD1" w14:paraId="79DD7BB4" w14:textId="77777777">
            <w:pPr>
              <w:spacing w:line="240" w:lineRule="auto"/>
              <w:jc w:val="both"/>
              <w:rPr>
                <w:rFonts w:eastAsia="Times New Roman" w:cs="Times New Roman"/>
                <w:noProof/>
                <w:szCs w:val="24"/>
              </w:rPr>
            </w:pPr>
            <w:r w:rsidRPr="004F0720">
              <w:rPr>
                <w:rFonts w:eastAsia="Times New Roman" w:cs="Times New Roman"/>
                <w:noProof/>
                <w:szCs w:val="24"/>
              </w:rPr>
              <w:t>BBB+/Stable/A-2</w:t>
            </w:r>
          </w:p>
        </w:tc>
        <w:tc>
          <w:tcPr>
            <w:tcW w:w="2160" w:type="dxa"/>
            <w:tcMar>
              <w:top w:w="0" w:type="dxa"/>
              <w:left w:w="108" w:type="dxa"/>
              <w:bottom w:w="0" w:type="dxa"/>
              <w:right w:w="108" w:type="dxa"/>
            </w:tcMar>
            <w:hideMark/>
          </w:tcPr>
          <w:p w:rsidR="001C7DEA" w:rsidRPr="004F0720" w:rsidP="00D61CD1" w14:paraId="40DF8F44" w14:textId="77777777">
            <w:pPr>
              <w:spacing w:line="240" w:lineRule="auto"/>
              <w:jc w:val="both"/>
              <w:rPr>
                <w:rFonts w:eastAsia="Times New Roman" w:cs="Times New Roman"/>
                <w:noProof/>
                <w:szCs w:val="24"/>
              </w:rPr>
            </w:pPr>
            <w:r w:rsidRPr="004F0720">
              <w:rPr>
                <w:rFonts w:eastAsia="Times New Roman" w:cs="Times New Roman"/>
                <w:noProof/>
                <w:szCs w:val="24"/>
              </w:rPr>
              <w:t>Baa1 Stable</w:t>
            </w:r>
          </w:p>
        </w:tc>
      </w:tr>
      <w:tr w14:paraId="4B272ADD"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0D5B350C" w14:textId="77777777">
            <w:pPr>
              <w:spacing w:line="240" w:lineRule="auto"/>
              <w:jc w:val="both"/>
              <w:rPr>
                <w:rFonts w:eastAsia="Times New Roman" w:cs="Times New Roman"/>
                <w:noProof/>
                <w:szCs w:val="24"/>
              </w:rPr>
            </w:pPr>
            <w:r w:rsidRPr="004F0720">
              <w:rPr>
                <w:rFonts w:eastAsia="Times New Roman" w:cs="Times New Roman"/>
                <w:noProof/>
                <w:szCs w:val="24"/>
              </w:rPr>
              <w:t>2017</w:t>
            </w:r>
          </w:p>
        </w:tc>
        <w:tc>
          <w:tcPr>
            <w:tcW w:w="2160" w:type="dxa"/>
            <w:tcMar>
              <w:top w:w="0" w:type="dxa"/>
              <w:left w:w="108" w:type="dxa"/>
              <w:bottom w:w="0" w:type="dxa"/>
              <w:right w:w="108" w:type="dxa"/>
            </w:tcMar>
            <w:hideMark/>
          </w:tcPr>
          <w:p w:rsidR="001C7DEA" w:rsidRPr="004F0720" w:rsidP="00D61CD1" w14:paraId="7F0ECBEC" w14:textId="77777777">
            <w:pPr>
              <w:spacing w:line="240" w:lineRule="auto"/>
              <w:jc w:val="both"/>
              <w:rPr>
                <w:rFonts w:eastAsia="Times New Roman" w:cs="Times New Roman"/>
                <w:noProof/>
                <w:szCs w:val="24"/>
              </w:rPr>
            </w:pPr>
            <w:r w:rsidRPr="004F0720">
              <w:rPr>
                <w:rFonts w:eastAsia="Times New Roman" w:cs="Times New Roman"/>
                <w:noProof/>
                <w:szCs w:val="24"/>
              </w:rPr>
              <w:t>BBB+/Stable/A-2</w:t>
            </w:r>
          </w:p>
        </w:tc>
        <w:tc>
          <w:tcPr>
            <w:tcW w:w="2160" w:type="dxa"/>
            <w:tcMar>
              <w:top w:w="0" w:type="dxa"/>
              <w:left w:w="108" w:type="dxa"/>
              <w:bottom w:w="0" w:type="dxa"/>
              <w:right w:w="108" w:type="dxa"/>
            </w:tcMar>
            <w:hideMark/>
          </w:tcPr>
          <w:p w:rsidR="001C7DEA" w:rsidRPr="004F0720" w:rsidP="00D61CD1" w14:paraId="75B21045" w14:textId="77777777">
            <w:pPr>
              <w:spacing w:line="240" w:lineRule="auto"/>
              <w:jc w:val="both"/>
              <w:rPr>
                <w:rFonts w:eastAsia="Times New Roman" w:cs="Times New Roman"/>
                <w:noProof/>
                <w:szCs w:val="24"/>
              </w:rPr>
            </w:pPr>
            <w:r w:rsidRPr="004F0720">
              <w:rPr>
                <w:rFonts w:eastAsia="Times New Roman" w:cs="Times New Roman"/>
                <w:noProof/>
                <w:szCs w:val="24"/>
              </w:rPr>
              <w:t>Baa1 Stable</w:t>
            </w:r>
          </w:p>
        </w:tc>
      </w:tr>
      <w:tr w14:paraId="00ACD2F3"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38A44D9B" w14:textId="77777777">
            <w:pPr>
              <w:spacing w:line="240" w:lineRule="auto"/>
              <w:jc w:val="both"/>
              <w:rPr>
                <w:rFonts w:eastAsia="Times New Roman" w:cs="Times New Roman"/>
                <w:noProof/>
                <w:szCs w:val="24"/>
              </w:rPr>
            </w:pPr>
            <w:r w:rsidRPr="004F0720">
              <w:rPr>
                <w:rFonts w:eastAsia="Times New Roman" w:cs="Times New Roman"/>
                <w:noProof/>
                <w:szCs w:val="24"/>
              </w:rPr>
              <w:t>2018</w:t>
            </w:r>
          </w:p>
        </w:tc>
        <w:tc>
          <w:tcPr>
            <w:tcW w:w="2160" w:type="dxa"/>
            <w:tcMar>
              <w:top w:w="0" w:type="dxa"/>
              <w:left w:w="108" w:type="dxa"/>
              <w:bottom w:w="0" w:type="dxa"/>
              <w:right w:w="108" w:type="dxa"/>
            </w:tcMar>
            <w:hideMark/>
          </w:tcPr>
          <w:p w:rsidR="001C7DEA" w:rsidRPr="004F0720" w:rsidP="00D61CD1" w14:paraId="12420DAD" w14:textId="77777777">
            <w:pPr>
              <w:spacing w:line="240" w:lineRule="auto"/>
              <w:jc w:val="both"/>
              <w:rPr>
                <w:rFonts w:eastAsia="Times New Roman" w:cs="Times New Roman"/>
                <w:noProof/>
                <w:szCs w:val="24"/>
              </w:rPr>
            </w:pPr>
            <w:r w:rsidRPr="004F0720">
              <w:rPr>
                <w:rFonts w:eastAsia="Times New Roman" w:cs="Times New Roman"/>
                <w:noProof/>
                <w:szCs w:val="24"/>
              </w:rPr>
              <w:t>BBB+/Positive/A-2</w:t>
            </w:r>
          </w:p>
        </w:tc>
        <w:tc>
          <w:tcPr>
            <w:tcW w:w="2160" w:type="dxa"/>
            <w:tcMar>
              <w:top w:w="0" w:type="dxa"/>
              <w:left w:w="108" w:type="dxa"/>
              <w:bottom w:w="0" w:type="dxa"/>
              <w:right w:w="108" w:type="dxa"/>
            </w:tcMar>
            <w:hideMark/>
          </w:tcPr>
          <w:p w:rsidR="001C7DEA" w:rsidRPr="004F0720" w:rsidP="00D61CD1" w14:paraId="0B135B93" w14:textId="77777777">
            <w:pPr>
              <w:spacing w:line="240" w:lineRule="auto"/>
              <w:jc w:val="both"/>
              <w:rPr>
                <w:rFonts w:eastAsia="Times New Roman" w:cs="Times New Roman"/>
                <w:noProof/>
                <w:szCs w:val="24"/>
              </w:rPr>
            </w:pPr>
            <w:r w:rsidRPr="004F0720">
              <w:rPr>
                <w:rFonts w:eastAsia="Times New Roman" w:cs="Times New Roman"/>
                <w:noProof/>
                <w:szCs w:val="24"/>
              </w:rPr>
              <w:t>Baa1 Stable</w:t>
            </w:r>
          </w:p>
        </w:tc>
      </w:tr>
      <w:tr w14:paraId="1AFD9730"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hideMark/>
          </w:tcPr>
          <w:p w:rsidR="001C7DEA" w:rsidRPr="004F0720" w:rsidP="00D61CD1" w14:paraId="01255EC4" w14:textId="77777777">
            <w:pPr>
              <w:spacing w:line="240" w:lineRule="auto"/>
              <w:jc w:val="both"/>
              <w:rPr>
                <w:rFonts w:eastAsia="Times New Roman" w:cs="Times New Roman"/>
                <w:noProof/>
                <w:szCs w:val="24"/>
              </w:rPr>
            </w:pPr>
            <w:r w:rsidRPr="004F0720">
              <w:rPr>
                <w:rFonts w:eastAsia="Times New Roman" w:cs="Times New Roman"/>
                <w:noProof/>
                <w:szCs w:val="24"/>
              </w:rPr>
              <w:t>2019</w:t>
            </w:r>
          </w:p>
        </w:tc>
        <w:tc>
          <w:tcPr>
            <w:tcW w:w="2160" w:type="dxa"/>
            <w:tcMar>
              <w:top w:w="0" w:type="dxa"/>
              <w:left w:w="108" w:type="dxa"/>
              <w:bottom w:w="0" w:type="dxa"/>
              <w:right w:w="108" w:type="dxa"/>
            </w:tcMar>
            <w:hideMark/>
          </w:tcPr>
          <w:p w:rsidR="001C7DEA" w:rsidRPr="004F0720" w:rsidP="00D61CD1" w14:paraId="11B1384F" w14:textId="77777777">
            <w:pPr>
              <w:spacing w:line="240" w:lineRule="auto"/>
              <w:jc w:val="both"/>
              <w:rPr>
                <w:rFonts w:eastAsia="Times New Roman" w:cs="Times New Roman"/>
                <w:noProof/>
                <w:szCs w:val="24"/>
              </w:rPr>
            </w:pPr>
            <w:r w:rsidRPr="004F0720">
              <w:rPr>
                <w:rFonts w:eastAsia="Times New Roman" w:cs="Times New Roman"/>
                <w:noProof/>
                <w:szCs w:val="24"/>
              </w:rPr>
              <w:t>A-/Stable/A-2</w:t>
            </w:r>
          </w:p>
        </w:tc>
        <w:tc>
          <w:tcPr>
            <w:tcW w:w="2160" w:type="dxa"/>
            <w:tcMar>
              <w:top w:w="0" w:type="dxa"/>
              <w:left w:w="108" w:type="dxa"/>
              <w:bottom w:w="0" w:type="dxa"/>
              <w:right w:w="108" w:type="dxa"/>
            </w:tcMar>
            <w:hideMark/>
          </w:tcPr>
          <w:p w:rsidR="001C7DEA" w:rsidRPr="004F0720" w:rsidP="00D61CD1" w14:paraId="56C9E907" w14:textId="77777777">
            <w:pPr>
              <w:spacing w:line="240" w:lineRule="auto"/>
              <w:jc w:val="both"/>
              <w:rPr>
                <w:rFonts w:eastAsia="Times New Roman" w:cs="Times New Roman"/>
                <w:noProof/>
                <w:szCs w:val="24"/>
              </w:rPr>
            </w:pPr>
            <w:r w:rsidRPr="004F0720">
              <w:rPr>
                <w:rFonts w:eastAsia="Times New Roman" w:cs="Times New Roman"/>
                <w:noProof/>
                <w:szCs w:val="24"/>
              </w:rPr>
              <w:t>Baa1 Stable</w:t>
            </w:r>
          </w:p>
        </w:tc>
      </w:tr>
      <w:tr w14:paraId="4F42306C"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tcPr>
          <w:p w:rsidR="001C7DEA" w:rsidRPr="004F0720" w:rsidP="00D61CD1" w14:paraId="0D9DBBF2" w14:textId="77777777">
            <w:pPr>
              <w:spacing w:line="240" w:lineRule="auto"/>
              <w:jc w:val="both"/>
              <w:rPr>
                <w:rFonts w:eastAsia="Times New Roman" w:cs="Times New Roman"/>
                <w:noProof/>
                <w:szCs w:val="24"/>
              </w:rPr>
            </w:pPr>
            <w:r w:rsidRPr="004F0720">
              <w:rPr>
                <w:rFonts w:eastAsia="Times New Roman" w:cs="Times New Roman"/>
                <w:noProof/>
                <w:szCs w:val="24"/>
              </w:rPr>
              <w:t>2020</w:t>
            </w:r>
          </w:p>
        </w:tc>
        <w:tc>
          <w:tcPr>
            <w:tcW w:w="2160" w:type="dxa"/>
            <w:tcMar>
              <w:top w:w="0" w:type="dxa"/>
              <w:left w:w="108" w:type="dxa"/>
              <w:bottom w:w="0" w:type="dxa"/>
              <w:right w:w="108" w:type="dxa"/>
            </w:tcMar>
          </w:tcPr>
          <w:p w:rsidR="001C7DEA" w:rsidRPr="004F0720" w:rsidP="00D61CD1" w14:paraId="773FEC88" w14:textId="77777777">
            <w:pPr>
              <w:spacing w:line="240" w:lineRule="auto"/>
              <w:jc w:val="both"/>
              <w:rPr>
                <w:rFonts w:eastAsia="Times New Roman" w:cs="Times New Roman"/>
                <w:noProof/>
                <w:szCs w:val="24"/>
              </w:rPr>
            </w:pPr>
            <w:r w:rsidRPr="004F0720">
              <w:rPr>
                <w:rFonts w:eastAsia="Times New Roman" w:cs="Times New Roman"/>
                <w:noProof/>
                <w:szCs w:val="24"/>
              </w:rPr>
              <w:t>A-/Stable/A-2</w:t>
            </w:r>
          </w:p>
        </w:tc>
        <w:tc>
          <w:tcPr>
            <w:tcW w:w="2160" w:type="dxa"/>
            <w:tcMar>
              <w:top w:w="0" w:type="dxa"/>
              <w:left w:w="108" w:type="dxa"/>
              <w:bottom w:w="0" w:type="dxa"/>
              <w:right w:w="108" w:type="dxa"/>
            </w:tcMar>
          </w:tcPr>
          <w:p w:rsidR="001C7DEA" w:rsidRPr="004F0720" w:rsidP="00D61CD1" w14:paraId="6A621165" w14:textId="77777777">
            <w:pPr>
              <w:spacing w:line="240" w:lineRule="auto"/>
              <w:jc w:val="both"/>
              <w:rPr>
                <w:rFonts w:eastAsia="Times New Roman" w:cs="Times New Roman"/>
                <w:noProof/>
                <w:szCs w:val="24"/>
              </w:rPr>
            </w:pPr>
            <w:r w:rsidRPr="004F0720">
              <w:rPr>
                <w:rFonts w:eastAsia="Times New Roman" w:cs="Times New Roman"/>
                <w:noProof/>
                <w:szCs w:val="24"/>
              </w:rPr>
              <w:t>Baa1 Stable</w:t>
            </w:r>
          </w:p>
        </w:tc>
      </w:tr>
      <w:tr w14:paraId="0ADB54AE"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tcPr>
          <w:p w:rsidR="001C7DEA" w:rsidRPr="004F0720" w:rsidP="00D61CD1" w14:paraId="39488C2E" w14:textId="77777777">
            <w:pPr>
              <w:spacing w:line="240" w:lineRule="auto"/>
              <w:jc w:val="both"/>
              <w:rPr>
                <w:rFonts w:eastAsia="Times New Roman" w:cs="Times New Roman"/>
                <w:noProof/>
                <w:szCs w:val="24"/>
              </w:rPr>
            </w:pPr>
            <w:r w:rsidRPr="004F0720">
              <w:rPr>
                <w:rFonts w:eastAsia="Times New Roman" w:cs="Times New Roman"/>
                <w:noProof/>
                <w:szCs w:val="24"/>
              </w:rPr>
              <w:t>2021</w:t>
            </w:r>
          </w:p>
        </w:tc>
        <w:tc>
          <w:tcPr>
            <w:tcW w:w="2160" w:type="dxa"/>
            <w:tcMar>
              <w:top w:w="0" w:type="dxa"/>
              <w:left w:w="108" w:type="dxa"/>
              <w:bottom w:w="0" w:type="dxa"/>
              <w:right w:w="108" w:type="dxa"/>
            </w:tcMar>
          </w:tcPr>
          <w:p w:rsidR="001C7DEA" w:rsidRPr="004F0720" w:rsidP="00D61CD1" w14:paraId="2F369E99" w14:textId="77777777">
            <w:pPr>
              <w:spacing w:line="240" w:lineRule="auto"/>
              <w:jc w:val="both"/>
              <w:rPr>
                <w:rFonts w:eastAsia="Times New Roman" w:cs="Times New Roman"/>
                <w:noProof/>
                <w:szCs w:val="24"/>
              </w:rPr>
            </w:pPr>
            <w:r w:rsidRPr="004F0720">
              <w:rPr>
                <w:rFonts w:eastAsia="Times New Roman" w:cs="Times New Roman"/>
                <w:noProof/>
                <w:szCs w:val="24"/>
              </w:rPr>
              <w:t>A-/Positive/A-2</w:t>
            </w:r>
          </w:p>
        </w:tc>
        <w:tc>
          <w:tcPr>
            <w:tcW w:w="2160" w:type="dxa"/>
            <w:tcMar>
              <w:top w:w="0" w:type="dxa"/>
              <w:left w:w="108" w:type="dxa"/>
              <w:bottom w:w="0" w:type="dxa"/>
              <w:right w:w="108" w:type="dxa"/>
            </w:tcMar>
          </w:tcPr>
          <w:p w:rsidR="001C7DEA" w:rsidRPr="004F0720" w:rsidP="00D61CD1" w14:paraId="5D6F1DE9" w14:textId="77777777">
            <w:pPr>
              <w:spacing w:line="240" w:lineRule="auto"/>
              <w:jc w:val="both"/>
              <w:rPr>
                <w:rFonts w:eastAsia="Times New Roman" w:cs="Times New Roman"/>
                <w:noProof/>
                <w:szCs w:val="24"/>
              </w:rPr>
            </w:pPr>
            <w:r w:rsidRPr="004F0720">
              <w:rPr>
                <w:rFonts w:eastAsia="Times New Roman" w:cs="Times New Roman"/>
                <w:noProof/>
                <w:szCs w:val="24"/>
              </w:rPr>
              <w:t>Baa1 Stable</w:t>
            </w:r>
          </w:p>
        </w:tc>
      </w:tr>
      <w:tr w14:paraId="435C385B"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tcPr>
          <w:p w:rsidR="001C7DEA" w:rsidRPr="004F0720" w:rsidP="00D61CD1" w14:paraId="1B4C534E" w14:textId="77777777">
            <w:pPr>
              <w:spacing w:line="240" w:lineRule="auto"/>
              <w:jc w:val="both"/>
              <w:rPr>
                <w:rFonts w:eastAsia="Times New Roman" w:cs="Times New Roman"/>
                <w:noProof/>
                <w:szCs w:val="24"/>
              </w:rPr>
            </w:pPr>
            <w:r w:rsidRPr="004F0720">
              <w:rPr>
                <w:rFonts w:eastAsia="Times New Roman" w:cs="Times New Roman"/>
                <w:noProof/>
                <w:szCs w:val="24"/>
              </w:rPr>
              <w:t>2022</w:t>
            </w:r>
          </w:p>
        </w:tc>
        <w:tc>
          <w:tcPr>
            <w:tcW w:w="2160" w:type="dxa"/>
            <w:tcMar>
              <w:top w:w="0" w:type="dxa"/>
              <w:left w:w="108" w:type="dxa"/>
              <w:bottom w:w="0" w:type="dxa"/>
              <w:right w:w="108" w:type="dxa"/>
            </w:tcMar>
          </w:tcPr>
          <w:p w:rsidR="001C7DEA" w:rsidRPr="004F0720" w:rsidP="00D61CD1" w14:paraId="5A24A4BC" w14:textId="77777777">
            <w:pPr>
              <w:spacing w:line="240" w:lineRule="auto"/>
              <w:jc w:val="both"/>
              <w:rPr>
                <w:rFonts w:eastAsia="Times New Roman" w:cs="Times New Roman"/>
                <w:noProof/>
                <w:szCs w:val="24"/>
              </w:rPr>
            </w:pPr>
            <w:r w:rsidRPr="004F0720">
              <w:rPr>
                <w:rFonts w:cs="Times New Roman"/>
              </w:rPr>
              <w:t>A/</w:t>
            </w:r>
            <w:r w:rsidRPr="004F0720">
              <w:rPr>
                <w:rFonts w:cs="Times New Roman"/>
              </w:rPr>
              <w:t>Stable</w:t>
            </w:r>
            <w:r w:rsidRPr="004F0720">
              <w:rPr>
                <w:rFonts w:cs="Times New Roman"/>
              </w:rPr>
              <w:t>/A-1</w:t>
            </w:r>
          </w:p>
        </w:tc>
        <w:tc>
          <w:tcPr>
            <w:tcW w:w="2160" w:type="dxa"/>
            <w:tcMar>
              <w:top w:w="0" w:type="dxa"/>
              <w:left w:w="108" w:type="dxa"/>
              <w:bottom w:w="0" w:type="dxa"/>
              <w:right w:w="108" w:type="dxa"/>
            </w:tcMar>
          </w:tcPr>
          <w:p w:rsidR="001C7DEA" w:rsidRPr="004F0720" w:rsidP="00D61CD1" w14:paraId="4AD0B27D" w14:textId="77777777">
            <w:pPr>
              <w:spacing w:line="240" w:lineRule="auto"/>
              <w:jc w:val="both"/>
              <w:rPr>
                <w:rFonts w:eastAsia="Times New Roman" w:cs="Times New Roman"/>
                <w:noProof/>
                <w:szCs w:val="24"/>
              </w:rPr>
            </w:pPr>
            <w:r w:rsidRPr="004F0720">
              <w:rPr>
                <w:rFonts w:eastAsia="Times New Roman" w:cs="Times New Roman"/>
                <w:noProof/>
                <w:szCs w:val="24"/>
              </w:rPr>
              <w:t>-</w:t>
            </w:r>
          </w:p>
        </w:tc>
      </w:tr>
      <w:tr w14:paraId="62494C00"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tcPr>
          <w:p w:rsidR="001C7DEA" w:rsidRPr="004F0720" w:rsidP="00D61CD1" w14:paraId="43EAD7D2" w14:textId="77777777">
            <w:pPr>
              <w:spacing w:line="240" w:lineRule="auto"/>
              <w:jc w:val="both"/>
              <w:rPr>
                <w:rFonts w:eastAsia="Times New Roman" w:cs="Times New Roman"/>
                <w:noProof/>
                <w:szCs w:val="24"/>
              </w:rPr>
            </w:pPr>
            <w:r w:rsidRPr="004F0720">
              <w:rPr>
                <w:rFonts w:eastAsia="Times New Roman" w:cs="Times New Roman"/>
                <w:noProof/>
                <w:szCs w:val="24"/>
              </w:rPr>
              <w:t>2023</w:t>
            </w:r>
          </w:p>
        </w:tc>
        <w:tc>
          <w:tcPr>
            <w:tcW w:w="2160" w:type="dxa"/>
            <w:tcMar>
              <w:top w:w="0" w:type="dxa"/>
              <w:left w:w="108" w:type="dxa"/>
              <w:bottom w:w="0" w:type="dxa"/>
              <w:right w:w="108" w:type="dxa"/>
            </w:tcMar>
          </w:tcPr>
          <w:p w:rsidR="001C7DEA" w:rsidRPr="004F0720" w:rsidP="00D61CD1" w14:paraId="2366682F" w14:textId="77777777">
            <w:pPr>
              <w:spacing w:line="240" w:lineRule="auto"/>
              <w:jc w:val="both"/>
              <w:rPr>
                <w:rFonts w:eastAsia="Times New Roman" w:cs="Times New Roman"/>
                <w:noProof/>
                <w:szCs w:val="24"/>
              </w:rPr>
            </w:pPr>
            <w:r w:rsidRPr="004F0720">
              <w:rPr>
                <w:rFonts w:cs="Times New Roman"/>
              </w:rPr>
              <w:t>A/</w:t>
            </w:r>
            <w:r w:rsidRPr="004F0720">
              <w:rPr>
                <w:rFonts w:cs="Times New Roman"/>
              </w:rPr>
              <w:t>Stable</w:t>
            </w:r>
            <w:r w:rsidRPr="004F0720">
              <w:rPr>
                <w:rFonts w:cs="Times New Roman"/>
              </w:rPr>
              <w:t>/A-1</w:t>
            </w:r>
          </w:p>
        </w:tc>
        <w:tc>
          <w:tcPr>
            <w:tcW w:w="2160" w:type="dxa"/>
            <w:tcMar>
              <w:top w:w="0" w:type="dxa"/>
              <w:left w:w="108" w:type="dxa"/>
              <w:bottom w:w="0" w:type="dxa"/>
              <w:right w:w="108" w:type="dxa"/>
            </w:tcMar>
          </w:tcPr>
          <w:p w:rsidR="001C7DEA" w:rsidRPr="004F0720" w:rsidP="00D61CD1" w14:paraId="2AB7A532" w14:textId="77777777">
            <w:pPr>
              <w:spacing w:line="240" w:lineRule="auto"/>
              <w:jc w:val="both"/>
              <w:rPr>
                <w:rFonts w:eastAsia="Times New Roman" w:cs="Times New Roman"/>
                <w:noProof/>
                <w:szCs w:val="24"/>
              </w:rPr>
            </w:pPr>
            <w:r w:rsidRPr="004F0720">
              <w:rPr>
                <w:rFonts w:eastAsia="Times New Roman" w:cs="Times New Roman"/>
                <w:noProof/>
                <w:szCs w:val="24"/>
              </w:rPr>
              <w:t>-</w:t>
            </w:r>
          </w:p>
        </w:tc>
      </w:tr>
      <w:tr w14:paraId="1C49F647"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tcPr>
          <w:p w:rsidR="001C7DEA" w:rsidRPr="004F0720" w:rsidP="00D61CD1" w14:paraId="30F577DD" w14:textId="77777777">
            <w:pPr>
              <w:spacing w:line="240" w:lineRule="auto"/>
              <w:jc w:val="both"/>
              <w:rPr>
                <w:rFonts w:eastAsia="Times New Roman" w:cs="Times New Roman"/>
                <w:noProof/>
                <w:szCs w:val="24"/>
              </w:rPr>
            </w:pPr>
            <w:r w:rsidRPr="004F0720">
              <w:rPr>
                <w:rFonts w:eastAsia="Times New Roman" w:cs="Times New Roman"/>
                <w:noProof/>
                <w:szCs w:val="24"/>
              </w:rPr>
              <w:t>2024</w:t>
            </w:r>
          </w:p>
        </w:tc>
        <w:tc>
          <w:tcPr>
            <w:tcW w:w="2160" w:type="dxa"/>
            <w:tcMar>
              <w:top w:w="0" w:type="dxa"/>
              <w:left w:w="108" w:type="dxa"/>
              <w:bottom w:w="0" w:type="dxa"/>
              <w:right w:w="108" w:type="dxa"/>
            </w:tcMar>
          </w:tcPr>
          <w:p w:rsidR="001C7DEA" w:rsidRPr="004F0720" w:rsidP="00D61CD1" w14:paraId="54042749" w14:textId="77777777">
            <w:pPr>
              <w:spacing w:line="240" w:lineRule="auto"/>
              <w:jc w:val="both"/>
              <w:rPr>
                <w:rFonts w:eastAsia="Times New Roman" w:cs="Times New Roman"/>
                <w:noProof/>
                <w:szCs w:val="24"/>
              </w:rPr>
            </w:pPr>
            <w:r w:rsidRPr="004F0720">
              <w:rPr>
                <w:rFonts w:cs="Times New Roman"/>
              </w:rPr>
              <w:t>A/</w:t>
            </w:r>
            <w:r w:rsidRPr="004F0720">
              <w:rPr>
                <w:rFonts w:cs="Times New Roman"/>
              </w:rPr>
              <w:t>Stable</w:t>
            </w:r>
            <w:r w:rsidRPr="004F0720">
              <w:rPr>
                <w:rFonts w:cs="Times New Roman"/>
              </w:rPr>
              <w:t>/A-1</w:t>
            </w:r>
          </w:p>
        </w:tc>
        <w:tc>
          <w:tcPr>
            <w:tcW w:w="2160" w:type="dxa"/>
            <w:tcMar>
              <w:top w:w="0" w:type="dxa"/>
              <w:left w:w="108" w:type="dxa"/>
              <w:bottom w:w="0" w:type="dxa"/>
              <w:right w:w="108" w:type="dxa"/>
            </w:tcMar>
          </w:tcPr>
          <w:p w:rsidR="001C7DEA" w:rsidRPr="004F0720" w:rsidP="00D61CD1" w14:paraId="3E63F8BB" w14:textId="77777777">
            <w:pPr>
              <w:spacing w:line="240" w:lineRule="auto"/>
              <w:jc w:val="both"/>
              <w:rPr>
                <w:rFonts w:eastAsia="Times New Roman" w:cs="Times New Roman"/>
                <w:noProof/>
                <w:szCs w:val="24"/>
              </w:rPr>
            </w:pPr>
            <w:r w:rsidRPr="004F0720">
              <w:rPr>
                <w:rFonts w:eastAsia="Times New Roman" w:cs="Times New Roman"/>
                <w:noProof/>
                <w:szCs w:val="24"/>
              </w:rPr>
              <w:t>-</w:t>
            </w:r>
          </w:p>
        </w:tc>
      </w:tr>
      <w:tr w14:paraId="62976DF7" w14:textId="77777777" w:rsidTr="00D61CD1">
        <w:tblPrEx>
          <w:tblW w:w="6228" w:type="dxa"/>
          <w:jc w:val="center"/>
          <w:tblCellMar>
            <w:left w:w="0" w:type="dxa"/>
            <w:right w:w="0" w:type="dxa"/>
          </w:tblCellMar>
          <w:tblLook w:val="04A0"/>
        </w:tblPrEx>
        <w:trPr>
          <w:jc w:val="center"/>
        </w:trPr>
        <w:tc>
          <w:tcPr>
            <w:tcW w:w="1908" w:type="dxa"/>
            <w:tcMar>
              <w:top w:w="0" w:type="dxa"/>
              <w:left w:w="108" w:type="dxa"/>
              <w:bottom w:w="0" w:type="dxa"/>
              <w:right w:w="108" w:type="dxa"/>
            </w:tcMar>
          </w:tcPr>
          <w:p w:rsidR="001C7DEA" w:rsidRPr="004F0720" w:rsidP="00D61CD1" w14:paraId="5C79BB30" w14:textId="77777777">
            <w:pPr>
              <w:spacing w:line="240" w:lineRule="auto"/>
              <w:jc w:val="both"/>
              <w:rPr>
                <w:rFonts w:eastAsia="Times New Roman" w:cs="Times New Roman"/>
                <w:noProof/>
                <w:szCs w:val="24"/>
              </w:rPr>
            </w:pPr>
            <w:r w:rsidRPr="004F0720">
              <w:rPr>
                <w:rFonts w:eastAsia="Times New Roman" w:cs="Times New Roman"/>
                <w:noProof/>
                <w:szCs w:val="24"/>
              </w:rPr>
              <w:t>2025</w:t>
            </w:r>
          </w:p>
        </w:tc>
        <w:tc>
          <w:tcPr>
            <w:tcW w:w="2160" w:type="dxa"/>
            <w:tcMar>
              <w:top w:w="0" w:type="dxa"/>
              <w:left w:w="108" w:type="dxa"/>
              <w:bottom w:w="0" w:type="dxa"/>
              <w:right w:w="108" w:type="dxa"/>
            </w:tcMar>
          </w:tcPr>
          <w:p w:rsidR="001C7DEA" w:rsidRPr="004F0720" w:rsidP="00D61CD1" w14:paraId="450EFF86" w14:textId="77777777">
            <w:pPr>
              <w:spacing w:line="240" w:lineRule="auto"/>
              <w:jc w:val="both"/>
              <w:rPr>
                <w:rFonts w:cs="Times New Roman"/>
              </w:rPr>
            </w:pPr>
            <w:r w:rsidRPr="004F0720">
              <w:rPr>
                <w:rFonts w:cs="Times New Roman"/>
              </w:rPr>
              <w:t>A/</w:t>
            </w:r>
            <w:r w:rsidRPr="004F0720">
              <w:rPr>
                <w:rFonts w:cs="Times New Roman"/>
              </w:rPr>
              <w:t>Stable</w:t>
            </w:r>
            <w:r w:rsidRPr="004F0720">
              <w:rPr>
                <w:rFonts w:cs="Times New Roman"/>
              </w:rPr>
              <w:t>/A-1</w:t>
            </w:r>
          </w:p>
        </w:tc>
        <w:tc>
          <w:tcPr>
            <w:tcW w:w="2160" w:type="dxa"/>
            <w:tcMar>
              <w:top w:w="0" w:type="dxa"/>
              <w:left w:w="108" w:type="dxa"/>
              <w:bottom w:w="0" w:type="dxa"/>
              <w:right w:w="108" w:type="dxa"/>
            </w:tcMar>
          </w:tcPr>
          <w:p w:rsidR="001C7DEA" w:rsidRPr="004F0720" w:rsidP="00D61CD1" w14:paraId="6B6D7E69" w14:textId="77777777">
            <w:pPr>
              <w:spacing w:line="240" w:lineRule="auto"/>
              <w:jc w:val="both"/>
              <w:rPr>
                <w:rFonts w:eastAsia="Times New Roman" w:cs="Times New Roman"/>
                <w:noProof/>
                <w:szCs w:val="24"/>
              </w:rPr>
            </w:pPr>
            <w:r w:rsidRPr="004F0720">
              <w:rPr>
                <w:rFonts w:eastAsia="Times New Roman" w:cs="Times New Roman"/>
                <w:noProof/>
                <w:szCs w:val="24"/>
              </w:rPr>
              <w:t>-</w:t>
            </w:r>
          </w:p>
        </w:tc>
      </w:tr>
      <w:bookmarkEnd w:id="7"/>
    </w:tbl>
    <w:p w:rsidR="001C7DEA" w:rsidRPr="003E0086" w:rsidP="001C7DEA" w14:paraId="66628541" w14:textId="77777777">
      <w:pPr>
        <w:spacing w:line="240" w:lineRule="auto"/>
        <w:ind w:firstLine="720"/>
        <w:jc w:val="both"/>
        <w:rPr>
          <w:rFonts w:eastAsia="Times New Roman" w:cs="Times New Roman"/>
          <w:b/>
          <w:sz w:val="26"/>
          <w:szCs w:val="26"/>
          <w:lang w:eastAsia="lv-LV"/>
        </w:rPr>
      </w:pPr>
    </w:p>
    <w:p w:rsidR="001C7DEA" w:rsidRPr="003E0086" w:rsidP="001C7DEA" w14:paraId="6C9EF75C" w14:textId="77777777">
      <w:pPr>
        <w:spacing w:line="240" w:lineRule="auto"/>
        <w:ind w:firstLine="720"/>
        <w:jc w:val="both"/>
        <w:rPr>
          <w:rFonts w:eastAsia="Times New Roman" w:cs="Times New Roman"/>
          <w:b/>
          <w:sz w:val="26"/>
          <w:szCs w:val="26"/>
          <w:lang w:eastAsia="lv-LV"/>
        </w:rPr>
      </w:pPr>
    </w:p>
    <w:p w:rsidR="006A1512" w:rsidP="00580350" w14:paraId="7554BAE0" w14:textId="77777777">
      <w:pPr>
        <w:spacing w:line="240" w:lineRule="auto"/>
        <w:ind w:firstLine="720"/>
        <w:jc w:val="both"/>
        <w:rPr>
          <w:rFonts w:eastAsia="Times New Roman" w:cs="Times New Roman"/>
          <w:b/>
          <w:sz w:val="26"/>
          <w:szCs w:val="26"/>
          <w:lang w:eastAsia="lv-LV"/>
        </w:rPr>
      </w:pPr>
    </w:p>
    <w:p w:rsidR="00AB4B8C" w:rsidP="00AB4B8C" w14:paraId="0F3A77B6" w14:textId="77777777">
      <w:pPr>
        <w:spacing w:line="240" w:lineRule="auto"/>
        <w:ind w:firstLine="720"/>
        <w:jc w:val="both"/>
        <w:rPr>
          <w:rFonts w:eastAsia="Times New Roman" w:cs="Times New Roman"/>
          <w:b/>
          <w:sz w:val="26"/>
          <w:szCs w:val="26"/>
          <w:lang w:eastAsia="lv-LV"/>
        </w:rPr>
      </w:pPr>
    </w:p>
    <w:p w:rsidR="00AB4B8C" w:rsidP="00AB4B8C" w14:paraId="510F2B9A" w14:textId="77777777">
      <w:pPr>
        <w:textAlignment w:val="baseline"/>
      </w:pPr>
      <w:r w:rsidRPr="006C5449">
        <w:t>D</w:t>
      </w:r>
      <w:r>
        <w:t>epartamenta direktors</w:t>
      </w:r>
      <w:r w:rsidRPr="006C5449">
        <w:t xml:space="preserve">        </w:t>
      </w:r>
      <w:r>
        <w:t xml:space="preserve">        </w:t>
      </w:r>
      <w:r w:rsidRPr="006C5449">
        <w:t xml:space="preserve">              </w:t>
      </w:r>
      <w:r>
        <w:t xml:space="preserve">                                  </w:t>
      </w:r>
      <w:r w:rsidRPr="006C5449">
        <w:t xml:space="preserve">   </w:t>
      </w:r>
      <w:r>
        <w:t xml:space="preserve">            </w:t>
      </w:r>
      <w:r w:rsidRPr="006C5449">
        <w:t xml:space="preserve">    </w:t>
      </w:r>
      <w:r>
        <w:t>U.Rakstiņš</w:t>
      </w:r>
    </w:p>
    <w:p w:rsidR="00AB4B8C" w:rsidRPr="000018E2" w:rsidP="00AB4B8C" w14:paraId="4E088C69" w14:textId="77777777">
      <w:pPr>
        <w:jc w:val="both"/>
        <w:rPr>
          <w:bCs/>
          <w:sz w:val="26"/>
          <w:szCs w:val="26"/>
        </w:rPr>
      </w:pPr>
    </w:p>
    <w:p w:rsidR="00AB4B8C" w:rsidP="00AB4B8C" w14:paraId="38FF6D57" w14:textId="77777777">
      <w:pPr>
        <w:jc w:val="center"/>
        <w:rPr>
          <w:sz w:val="22"/>
        </w:rPr>
      </w:pPr>
    </w:p>
    <w:p w:rsidR="00AB4B8C" w:rsidP="00AB4B8C" w14:paraId="3A126A3D" w14:textId="77777777">
      <w:pPr>
        <w:spacing w:line="240" w:lineRule="auto"/>
        <w:ind w:firstLine="540"/>
        <w:jc w:val="center"/>
        <w:rPr>
          <w:rFonts w:eastAsia="Times New Roman" w:cs="Times New Roman"/>
          <w:b/>
          <w:sz w:val="26"/>
          <w:szCs w:val="26"/>
          <w:lang w:eastAsia="lv-LV"/>
        </w:rPr>
      </w:pPr>
    </w:p>
    <w:p w:rsidR="00AB4B8C" w:rsidRPr="00E90DCB" w:rsidP="00AB4B8C" w14:paraId="6F827282" w14:textId="77777777">
      <w:pPr>
        <w:spacing w:line="240" w:lineRule="auto"/>
        <w:rPr>
          <w:rFonts w:eastAsia="Times New Roman" w:cs="Times New Roman"/>
          <w:bCs/>
          <w:sz w:val="22"/>
          <w:lang w:eastAsia="lv-LV"/>
        </w:rPr>
      </w:pPr>
      <w:r w:rsidRPr="00E90DCB">
        <w:rPr>
          <w:rFonts w:eastAsia="Times New Roman" w:cs="Times New Roman"/>
          <w:bCs/>
          <w:sz w:val="22"/>
          <w:lang w:eastAsia="lv-LV"/>
        </w:rPr>
        <w:t>Roberts Remess, 67105308,</w:t>
      </w:r>
    </w:p>
    <w:p w:rsidR="00AB4B8C" w:rsidRPr="00F229C4" w:rsidP="00AB4B8C" w14:paraId="7A6FE8F3" w14:textId="77777777">
      <w:pPr>
        <w:spacing w:line="240" w:lineRule="auto"/>
        <w:rPr>
          <w:rFonts w:eastAsia="Times New Roman" w:cs="Times New Roman"/>
          <w:b/>
          <w:sz w:val="26"/>
          <w:szCs w:val="26"/>
          <w:lang w:eastAsia="lv-LV"/>
        </w:rPr>
      </w:pPr>
      <w:r w:rsidRPr="00E90DCB">
        <w:rPr>
          <w:rFonts w:eastAsia="Times New Roman" w:cs="Times New Roman"/>
          <w:bCs/>
          <w:sz w:val="22"/>
          <w:lang w:eastAsia="lv-LV"/>
        </w:rPr>
        <w:t>Roberts.Remess@riga.lv</w:t>
      </w:r>
    </w:p>
    <w:p w:rsidR="00AB4B8C" w:rsidRPr="00F229C4" w:rsidP="00580350" w14:paraId="48416131" w14:textId="77777777">
      <w:pPr>
        <w:spacing w:line="240" w:lineRule="auto"/>
        <w:ind w:firstLine="720"/>
        <w:jc w:val="both"/>
        <w:rPr>
          <w:rFonts w:eastAsia="Times New Roman" w:cs="Times New Roman"/>
          <w:b/>
          <w:sz w:val="26"/>
          <w:szCs w:val="26"/>
          <w:lang w:eastAsia="lv-LV"/>
        </w:rPr>
      </w:pPr>
    </w:p>
    <w:sectPr w:rsidSect="00860B1F">
      <w:footerReference w:type="default" r:id="rId8"/>
      <w:footerReference w:type="first" r:id="rId9"/>
      <w:pgSz w:w="11906" w:h="16838"/>
      <w:pgMar w:top="1440" w:right="1758"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525471207"/>
      <w:docPartObj>
        <w:docPartGallery w:val="Page Numbers (Bottom of Page)"/>
        <w:docPartUnique/>
      </w:docPartObj>
    </w:sdtPr>
    <w:sdtContent>
      <w:p w:rsidR="00DC6424" w14:paraId="1467724C" w14:textId="6BF90BD6">
        <w:pPr>
          <w:pStyle w:val="Footer"/>
          <w:jc w:val="right"/>
        </w:pPr>
        <w:r>
          <w:fldChar w:fldCharType="begin"/>
        </w:r>
        <w:r>
          <w:instrText>PAGE   \* MERGEFORMAT</w:instrText>
        </w:r>
        <w:r>
          <w:fldChar w:fldCharType="separate"/>
        </w:r>
        <w:r>
          <w:t>2</w:t>
        </w:r>
        <w:r>
          <w:fldChar w:fldCharType="end"/>
        </w:r>
      </w:p>
    </w:sdtContent>
  </w:sdt>
  <w:p w:rsidR="00DC6424" w14:paraId="2D3335BD" w14:textId="77777777">
    <w:pPr>
      <w:pStyle w:val="Footer"/>
    </w:pPr>
  </w:p>
  <w:p>
    <w:pPr>
      <w:jc w:val="center"/>
    </w:pPr>
    <w:r>
      <w:rPr>
        <w:rFonts w:ascii="Calibri" w:eastAsia="Calibri" w:hAnsi="Calibri" w:cs="Calibri"/>
        <w:b w:val="0"/>
        <w:i w:val="0"/>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Calibri" w:eastAsia="Calibri" w:hAnsi="Calibri" w:cs="Calibri"/>
        <w:b w:val="0"/>
        <w:i w:val="0"/>
        <w:sz w:val="22"/>
      </w:rPr>
      <w:t>Šis dokuments ir parakstīts ar drošu elektronisko parakstu un satur laika zīmogu</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7F61926"/>
    <w:multiLevelType w:val="hybridMultilevel"/>
    <w:tmpl w:val="15F2288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151E4EDB"/>
    <w:multiLevelType w:val="hybridMultilevel"/>
    <w:tmpl w:val="EFE84394"/>
    <w:lvl w:ilvl="0">
      <w:start w:val="1"/>
      <w:numFmt w:val="bullet"/>
      <w:lvlText w:val=""/>
      <w:lvlJc w:val="left"/>
      <w:pPr>
        <w:ind w:left="1260" w:hanging="360"/>
      </w:pPr>
      <w:rPr>
        <w:rFonts w:ascii="Symbol" w:hAnsi="Symbol" w:hint="default"/>
      </w:rPr>
    </w:lvl>
    <w:lvl w:ilvl="1" w:tentative="1">
      <w:start w:val="1"/>
      <w:numFmt w:val="bullet"/>
      <w:lvlText w:val="o"/>
      <w:lvlJc w:val="left"/>
      <w:pPr>
        <w:ind w:left="1980" w:hanging="360"/>
      </w:pPr>
      <w:rPr>
        <w:rFonts w:ascii="Courier New" w:hAnsi="Courier New" w:cs="Courier New" w:hint="default"/>
      </w:rPr>
    </w:lvl>
    <w:lvl w:ilvl="2" w:tentative="1">
      <w:start w:val="1"/>
      <w:numFmt w:val="bullet"/>
      <w:lvlText w:val=""/>
      <w:lvlJc w:val="left"/>
      <w:pPr>
        <w:ind w:left="2700" w:hanging="360"/>
      </w:pPr>
      <w:rPr>
        <w:rFonts w:ascii="Wingdings" w:hAnsi="Wingdings" w:hint="default"/>
      </w:rPr>
    </w:lvl>
    <w:lvl w:ilvl="3" w:tentative="1">
      <w:start w:val="1"/>
      <w:numFmt w:val="bullet"/>
      <w:lvlText w:val=""/>
      <w:lvlJc w:val="left"/>
      <w:pPr>
        <w:ind w:left="3420" w:hanging="360"/>
      </w:pPr>
      <w:rPr>
        <w:rFonts w:ascii="Symbol" w:hAnsi="Symbol" w:hint="default"/>
      </w:rPr>
    </w:lvl>
    <w:lvl w:ilvl="4" w:tentative="1">
      <w:start w:val="1"/>
      <w:numFmt w:val="bullet"/>
      <w:lvlText w:val="o"/>
      <w:lvlJc w:val="left"/>
      <w:pPr>
        <w:ind w:left="4140" w:hanging="360"/>
      </w:pPr>
      <w:rPr>
        <w:rFonts w:ascii="Courier New" w:hAnsi="Courier New" w:cs="Courier New" w:hint="default"/>
      </w:rPr>
    </w:lvl>
    <w:lvl w:ilvl="5" w:tentative="1">
      <w:start w:val="1"/>
      <w:numFmt w:val="bullet"/>
      <w:lvlText w:val=""/>
      <w:lvlJc w:val="left"/>
      <w:pPr>
        <w:ind w:left="4860" w:hanging="360"/>
      </w:pPr>
      <w:rPr>
        <w:rFonts w:ascii="Wingdings" w:hAnsi="Wingdings" w:hint="default"/>
      </w:rPr>
    </w:lvl>
    <w:lvl w:ilvl="6" w:tentative="1">
      <w:start w:val="1"/>
      <w:numFmt w:val="bullet"/>
      <w:lvlText w:val=""/>
      <w:lvlJc w:val="left"/>
      <w:pPr>
        <w:ind w:left="5580" w:hanging="360"/>
      </w:pPr>
      <w:rPr>
        <w:rFonts w:ascii="Symbol" w:hAnsi="Symbol" w:hint="default"/>
      </w:rPr>
    </w:lvl>
    <w:lvl w:ilvl="7" w:tentative="1">
      <w:start w:val="1"/>
      <w:numFmt w:val="bullet"/>
      <w:lvlText w:val="o"/>
      <w:lvlJc w:val="left"/>
      <w:pPr>
        <w:ind w:left="6300" w:hanging="360"/>
      </w:pPr>
      <w:rPr>
        <w:rFonts w:ascii="Courier New" w:hAnsi="Courier New" w:cs="Courier New" w:hint="default"/>
      </w:rPr>
    </w:lvl>
    <w:lvl w:ilvl="8" w:tentative="1">
      <w:start w:val="1"/>
      <w:numFmt w:val="bullet"/>
      <w:lvlText w:val=""/>
      <w:lvlJc w:val="left"/>
      <w:pPr>
        <w:ind w:left="7020" w:hanging="360"/>
      </w:pPr>
      <w:rPr>
        <w:rFonts w:ascii="Wingdings" w:hAnsi="Wingdings" w:hint="default"/>
      </w:rPr>
    </w:lvl>
  </w:abstractNum>
  <w:abstractNum w:abstractNumId="2">
    <w:nsid w:val="1A4A4B8D"/>
    <w:multiLevelType w:val="hybridMultilevel"/>
    <w:tmpl w:val="4D62044A"/>
    <w:lvl w:ilvl="0">
      <w:start w:val="1"/>
      <w:numFmt w:val="decimal"/>
      <w:lvlText w:val="%1."/>
      <w:lvlJc w:val="left"/>
      <w:pPr>
        <w:ind w:left="1260" w:hanging="360"/>
      </w:pPr>
    </w:lvl>
    <w:lvl w:ilvl="1" w:tentative="1">
      <w:start w:val="1"/>
      <w:numFmt w:val="lowerLetter"/>
      <w:lvlText w:val="%2."/>
      <w:lvlJc w:val="left"/>
      <w:pPr>
        <w:ind w:left="1980" w:hanging="360"/>
      </w:pPr>
    </w:lvl>
    <w:lvl w:ilvl="2" w:tentative="1">
      <w:start w:val="1"/>
      <w:numFmt w:val="lowerRoman"/>
      <w:lvlText w:val="%3."/>
      <w:lvlJc w:val="right"/>
      <w:pPr>
        <w:ind w:left="2700" w:hanging="180"/>
      </w:pPr>
    </w:lvl>
    <w:lvl w:ilvl="3" w:tentative="1">
      <w:start w:val="1"/>
      <w:numFmt w:val="decimal"/>
      <w:lvlText w:val="%4."/>
      <w:lvlJc w:val="left"/>
      <w:pPr>
        <w:ind w:left="3420" w:hanging="360"/>
      </w:pPr>
    </w:lvl>
    <w:lvl w:ilvl="4" w:tentative="1">
      <w:start w:val="1"/>
      <w:numFmt w:val="lowerLetter"/>
      <w:lvlText w:val="%5."/>
      <w:lvlJc w:val="left"/>
      <w:pPr>
        <w:ind w:left="4140" w:hanging="360"/>
      </w:pPr>
    </w:lvl>
    <w:lvl w:ilvl="5" w:tentative="1">
      <w:start w:val="1"/>
      <w:numFmt w:val="lowerRoman"/>
      <w:lvlText w:val="%6."/>
      <w:lvlJc w:val="right"/>
      <w:pPr>
        <w:ind w:left="4860" w:hanging="180"/>
      </w:pPr>
    </w:lvl>
    <w:lvl w:ilvl="6" w:tentative="1">
      <w:start w:val="1"/>
      <w:numFmt w:val="decimal"/>
      <w:lvlText w:val="%7."/>
      <w:lvlJc w:val="left"/>
      <w:pPr>
        <w:ind w:left="5580" w:hanging="360"/>
      </w:pPr>
    </w:lvl>
    <w:lvl w:ilvl="7" w:tentative="1">
      <w:start w:val="1"/>
      <w:numFmt w:val="lowerLetter"/>
      <w:lvlText w:val="%8."/>
      <w:lvlJc w:val="left"/>
      <w:pPr>
        <w:ind w:left="6300" w:hanging="360"/>
      </w:pPr>
    </w:lvl>
    <w:lvl w:ilvl="8" w:tentative="1">
      <w:start w:val="1"/>
      <w:numFmt w:val="lowerRoman"/>
      <w:lvlText w:val="%9."/>
      <w:lvlJc w:val="right"/>
      <w:pPr>
        <w:ind w:left="7020" w:hanging="180"/>
      </w:pPr>
    </w:lvl>
  </w:abstractNum>
  <w:abstractNum w:abstractNumId="3">
    <w:nsid w:val="22664FCE"/>
    <w:multiLevelType w:val="hybridMultilevel"/>
    <w:tmpl w:val="6548023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2F3668B2"/>
    <w:multiLevelType w:val="hybridMultilevel"/>
    <w:tmpl w:val="E986771E"/>
    <w:lvl w:ilvl="0">
      <w:start w:val="1"/>
      <w:numFmt w:val="decimal"/>
      <w:lvlText w:val="%1."/>
      <w:lvlJc w:val="left"/>
      <w:pPr>
        <w:ind w:left="900" w:hanging="360"/>
      </w:pPr>
      <w:rPr>
        <w:rFonts w:hint="default"/>
      </w:rPr>
    </w:lvl>
    <w:lvl w:ilvl="1" w:tentative="1">
      <w:start w:val="1"/>
      <w:numFmt w:val="lowerLetter"/>
      <w:lvlText w:val="%2."/>
      <w:lvlJc w:val="left"/>
      <w:pPr>
        <w:ind w:left="1620" w:hanging="360"/>
      </w:pPr>
    </w:lvl>
    <w:lvl w:ilvl="2" w:tentative="1">
      <w:start w:val="1"/>
      <w:numFmt w:val="lowerRoman"/>
      <w:lvlText w:val="%3."/>
      <w:lvlJc w:val="right"/>
      <w:pPr>
        <w:ind w:left="2340" w:hanging="180"/>
      </w:pPr>
    </w:lvl>
    <w:lvl w:ilvl="3" w:tentative="1">
      <w:start w:val="1"/>
      <w:numFmt w:val="decimal"/>
      <w:lvlText w:val="%4."/>
      <w:lvlJc w:val="left"/>
      <w:pPr>
        <w:ind w:left="3060" w:hanging="360"/>
      </w:pPr>
    </w:lvl>
    <w:lvl w:ilvl="4" w:tentative="1">
      <w:start w:val="1"/>
      <w:numFmt w:val="lowerLetter"/>
      <w:lvlText w:val="%5."/>
      <w:lvlJc w:val="left"/>
      <w:pPr>
        <w:ind w:left="3780" w:hanging="360"/>
      </w:pPr>
    </w:lvl>
    <w:lvl w:ilvl="5" w:tentative="1">
      <w:start w:val="1"/>
      <w:numFmt w:val="lowerRoman"/>
      <w:lvlText w:val="%6."/>
      <w:lvlJc w:val="right"/>
      <w:pPr>
        <w:ind w:left="4500" w:hanging="180"/>
      </w:pPr>
    </w:lvl>
    <w:lvl w:ilvl="6" w:tentative="1">
      <w:start w:val="1"/>
      <w:numFmt w:val="decimal"/>
      <w:lvlText w:val="%7."/>
      <w:lvlJc w:val="left"/>
      <w:pPr>
        <w:ind w:left="5220" w:hanging="360"/>
      </w:pPr>
    </w:lvl>
    <w:lvl w:ilvl="7" w:tentative="1">
      <w:start w:val="1"/>
      <w:numFmt w:val="lowerLetter"/>
      <w:lvlText w:val="%8."/>
      <w:lvlJc w:val="left"/>
      <w:pPr>
        <w:ind w:left="5940" w:hanging="360"/>
      </w:pPr>
    </w:lvl>
    <w:lvl w:ilvl="8" w:tentative="1">
      <w:start w:val="1"/>
      <w:numFmt w:val="lowerRoman"/>
      <w:lvlText w:val="%9."/>
      <w:lvlJc w:val="right"/>
      <w:pPr>
        <w:ind w:left="6660" w:hanging="180"/>
      </w:pPr>
    </w:lvl>
  </w:abstractNum>
  <w:abstractNum w:abstractNumId="5">
    <w:nsid w:val="40332927"/>
    <w:multiLevelType w:val="hybridMultilevel"/>
    <w:tmpl w:val="ECB8002C"/>
    <w:lvl w:ilvl="0">
      <w:start w:val="1"/>
      <w:numFmt w:val="decimal"/>
      <w:lvlText w:val="%1."/>
      <w:lvlJc w:val="left"/>
      <w:pPr>
        <w:ind w:left="900" w:hanging="360"/>
      </w:pPr>
      <w:rPr>
        <w:rFonts w:hint="default"/>
      </w:rPr>
    </w:lvl>
    <w:lvl w:ilvl="1" w:tentative="1">
      <w:start w:val="1"/>
      <w:numFmt w:val="lowerLetter"/>
      <w:lvlText w:val="%2."/>
      <w:lvlJc w:val="left"/>
      <w:pPr>
        <w:ind w:left="1620" w:hanging="360"/>
      </w:pPr>
    </w:lvl>
    <w:lvl w:ilvl="2" w:tentative="1">
      <w:start w:val="1"/>
      <w:numFmt w:val="lowerRoman"/>
      <w:lvlText w:val="%3."/>
      <w:lvlJc w:val="right"/>
      <w:pPr>
        <w:ind w:left="2340" w:hanging="180"/>
      </w:pPr>
    </w:lvl>
    <w:lvl w:ilvl="3" w:tentative="1">
      <w:start w:val="1"/>
      <w:numFmt w:val="decimal"/>
      <w:lvlText w:val="%4."/>
      <w:lvlJc w:val="left"/>
      <w:pPr>
        <w:ind w:left="3060" w:hanging="360"/>
      </w:pPr>
    </w:lvl>
    <w:lvl w:ilvl="4" w:tentative="1">
      <w:start w:val="1"/>
      <w:numFmt w:val="lowerLetter"/>
      <w:lvlText w:val="%5."/>
      <w:lvlJc w:val="left"/>
      <w:pPr>
        <w:ind w:left="3780" w:hanging="360"/>
      </w:pPr>
    </w:lvl>
    <w:lvl w:ilvl="5" w:tentative="1">
      <w:start w:val="1"/>
      <w:numFmt w:val="lowerRoman"/>
      <w:lvlText w:val="%6."/>
      <w:lvlJc w:val="right"/>
      <w:pPr>
        <w:ind w:left="4500" w:hanging="180"/>
      </w:pPr>
    </w:lvl>
    <w:lvl w:ilvl="6" w:tentative="1">
      <w:start w:val="1"/>
      <w:numFmt w:val="decimal"/>
      <w:lvlText w:val="%7."/>
      <w:lvlJc w:val="left"/>
      <w:pPr>
        <w:ind w:left="5220" w:hanging="360"/>
      </w:pPr>
    </w:lvl>
    <w:lvl w:ilvl="7" w:tentative="1">
      <w:start w:val="1"/>
      <w:numFmt w:val="lowerLetter"/>
      <w:lvlText w:val="%8."/>
      <w:lvlJc w:val="left"/>
      <w:pPr>
        <w:ind w:left="5940" w:hanging="360"/>
      </w:pPr>
    </w:lvl>
    <w:lvl w:ilvl="8" w:tentative="1">
      <w:start w:val="1"/>
      <w:numFmt w:val="lowerRoman"/>
      <w:lvlText w:val="%9."/>
      <w:lvlJc w:val="right"/>
      <w:pPr>
        <w:ind w:left="6660" w:hanging="180"/>
      </w:pPr>
    </w:lvl>
  </w:abstractNum>
  <w:abstractNum w:abstractNumId="6">
    <w:nsid w:val="45755EFF"/>
    <w:multiLevelType w:val="hybridMultilevel"/>
    <w:tmpl w:val="39246E0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58CA0410"/>
    <w:multiLevelType w:val="hybridMultilevel"/>
    <w:tmpl w:val="18F6D7A2"/>
    <w:lvl w:ilvl="0">
      <w:start w:val="1"/>
      <w:numFmt w:val="bullet"/>
      <w:lvlText w:val=""/>
      <w:lvlJc w:val="left"/>
      <w:pPr>
        <w:ind w:left="1260" w:hanging="360"/>
      </w:pPr>
      <w:rPr>
        <w:rFonts w:ascii="Symbol" w:hAnsi="Symbol" w:hint="default"/>
      </w:rPr>
    </w:lvl>
    <w:lvl w:ilvl="1" w:tentative="1">
      <w:start w:val="1"/>
      <w:numFmt w:val="bullet"/>
      <w:lvlText w:val="o"/>
      <w:lvlJc w:val="left"/>
      <w:pPr>
        <w:ind w:left="1980" w:hanging="360"/>
      </w:pPr>
      <w:rPr>
        <w:rFonts w:ascii="Courier New" w:hAnsi="Courier New" w:cs="Courier New" w:hint="default"/>
      </w:rPr>
    </w:lvl>
    <w:lvl w:ilvl="2" w:tentative="1">
      <w:start w:val="1"/>
      <w:numFmt w:val="bullet"/>
      <w:lvlText w:val=""/>
      <w:lvlJc w:val="left"/>
      <w:pPr>
        <w:ind w:left="2700" w:hanging="360"/>
      </w:pPr>
      <w:rPr>
        <w:rFonts w:ascii="Wingdings" w:hAnsi="Wingdings" w:hint="default"/>
      </w:rPr>
    </w:lvl>
    <w:lvl w:ilvl="3" w:tentative="1">
      <w:start w:val="1"/>
      <w:numFmt w:val="bullet"/>
      <w:lvlText w:val=""/>
      <w:lvlJc w:val="left"/>
      <w:pPr>
        <w:ind w:left="3420" w:hanging="360"/>
      </w:pPr>
      <w:rPr>
        <w:rFonts w:ascii="Symbol" w:hAnsi="Symbol" w:hint="default"/>
      </w:rPr>
    </w:lvl>
    <w:lvl w:ilvl="4" w:tentative="1">
      <w:start w:val="1"/>
      <w:numFmt w:val="bullet"/>
      <w:lvlText w:val="o"/>
      <w:lvlJc w:val="left"/>
      <w:pPr>
        <w:ind w:left="4140" w:hanging="360"/>
      </w:pPr>
      <w:rPr>
        <w:rFonts w:ascii="Courier New" w:hAnsi="Courier New" w:cs="Courier New" w:hint="default"/>
      </w:rPr>
    </w:lvl>
    <w:lvl w:ilvl="5" w:tentative="1">
      <w:start w:val="1"/>
      <w:numFmt w:val="bullet"/>
      <w:lvlText w:val=""/>
      <w:lvlJc w:val="left"/>
      <w:pPr>
        <w:ind w:left="4860" w:hanging="360"/>
      </w:pPr>
      <w:rPr>
        <w:rFonts w:ascii="Wingdings" w:hAnsi="Wingdings" w:hint="default"/>
      </w:rPr>
    </w:lvl>
    <w:lvl w:ilvl="6" w:tentative="1">
      <w:start w:val="1"/>
      <w:numFmt w:val="bullet"/>
      <w:lvlText w:val=""/>
      <w:lvlJc w:val="left"/>
      <w:pPr>
        <w:ind w:left="5580" w:hanging="360"/>
      </w:pPr>
      <w:rPr>
        <w:rFonts w:ascii="Symbol" w:hAnsi="Symbol" w:hint="default"/>
      </w:rPr>
    </w:lvl>
    <w:lvl w:ilvl="7" w:tentative="1">
      <w:start w:val="1"/>
      <w:numFmt w:val="bullet"/>
      <w:lvlText w:val="o"/>
      <w:lvlJc w:val="left"/>
      <w:pPr>
        <w:ind w:left="6300" w:hanging="360"/>
      </w:pPr>
      <w:rPr>
        <w:rFonts w:ascii="Courier New" w:hAnsi="Courier New" w:cs="Courier New" w:hint="default"/>
      </w:rPr>
    </w:lvl>
    <w:lvl w:ilvl="8" w:tentative="1">
      <w:start w:val="1"/>
      <w:numFmt w:val="bullet"/>
      <w:lvlText w:val=""/>
      <w:lvlJc w:val="left"/>
      <w:pPr>
        <w:ind w:left="7020" w:hanging="360"/>
      </w:pPr>
      <w:rPr>
        <w:rFonts w:ascii="Wingdings" w:hAnsi="Wingdings" w:hint="default"/>
      </w:rPr>
    </w:lvl>
  </w:abstractNum>
  <w:abstractNum w:abstractNumId="8">
    <w:nsid w:val="609B56B0"/>
    <w:multiLevelType w:val="hybridMultilevel"/>
    <w:tmpl w:val="38F80C7A"/>
    <w:lvl w:ilvl="0">
      <w:start w:val="0"/>
      <w:numFmt w:val="bullet"/>
      <w:lvlText w:val="-"/>
      <w:lvlJc w:val="left"/>
      <w:pPr>
        <w:ind w:left="900" w:hanging="360"/>
      </w:pPr>
      <w:rPr>
        <w:rFonts w:ascii="Times New Roman" w:eastAsia="Times New Roman" w:hAnsi="Times New Roman" w:cs="Times New Roman" w:hint="default"/>
      </w:rPr>
    </w:lvl>
    <w:lvl w:ilvl="1" w:tentative="1">
      <w:start w:val="1"/>
      <w:numFmt w:val="bullet"/>
      <w:lvlText w:val="o"/>
      <w:lvlJc w:val="left"/>
      <w:pPr>
        <w:ind w:left="1620" w:hanging="360"/>
      </w:pPr>
      <w:rPr>
        <w:rFonts w:ascii="Courier New" w:hAnsi="Courier New" w:cs="Courier New" w:hint="default"/>
      </w:rPr>
    </w:lvl>
    <w:lvl w:ilvl="2" w:tentative="1">
      <w:start w:val="1"/>
      <w:numFmt w:val="bullet"/>
      <w:lvlText w:val=""/>
      <w:lvlJc w:val="left"/>
      <w:pPr>
        <w:ind w:left="2340" w:hanging="360"/>
      </w:pPr>
      <w:rPr>
        <w:rFonts w:ascii="Wingdings" w:hAnsi="Wingdings" w:hint="default"/>
      </w:rPr>
    </w:lvl>
    <w:lvl w:ilvl="3" w:tentative="1">
      <w:start w:val="1"/>
      <w:numFmt w:val="bullet"/>
      <w:lvlText w:val=""/>
      <w:lvlJc w:val="left"/>
      <w:pPr>
        <w:ind w:left="3060" w:hanging="360"/>
      </w:pPr>
      <w:rPr>
        <w:rFonts w:ascii="Symbol" w:hAnsi="Symbol" w:hint="default"/>
      </w:rPr>
    </w:lvl>
    <w:lvl w:ilvl="4" w:tentative="1">
      <w:start w:val="1"/>
      <w:numFmt w:val="bullet"/>
      <w:lvlText w:val="o"/>
      <w:lvlJc w:val="left"/>
      <w:pPr>
        <w:ind w:left="3780" w:hanging="360"/>
      </w:pPr>
      <w:rPr>
        <w:rFonts w:ascii="Courier New" w:hAnsi="Courier New" w:cs="Courier New" w:hint="default"/>
      </w:rPr>
    </w:lvl>
    <w:lvl w:ilvl="5" w:tentative="1">
      <w:start w:val="1"/>
      <w:numFmt w:val="bullet"/>
      <w:lvlText w:val=""/>
      <w:lvlJc w:val="left"/>
      <w:pPr>
        <w:ind w:left="4500" w:hanging="360"/>
      </w:pPr>
      <w:rPr>
        <w:rFonts w:ascii="Wingdings" w:hAnsi="Wingdings" w:hint="default"/>
      </w:rPr>
    </w:lvl>
    <w:lvl w:ilvl="6" w:tentative="1">
      <w:start w:val="1"/>
      <w:numFmt w:val="bullet"/>
      <w:lvlText w:val=""/>
      <w:lvlJc w:val="left"/>
      <w:pPr>
        <w:ind w:left="5220" w:hanging="360"/>
      </w:pPr>
      <w:rPr>
        <w:rFonts w:ascii="Symbol" w:hAnsi="Symbol" w:hint="default"/>
      </w:rPr>
    </w:lvl>
    <w:lvl w:ilvl="7" w:tentative="1">
      <w:start w:val="1"/>
      <w:numFmt w:val="bullet"/>
      <w:lvlText w:val="o"/>
      <w:lvlJc w:val="left"/>
      <w:pPr>
        <w:ind w:left="5940" w:hanging="360"/>
      </w:pPr>
      <w:rPr>
        <w:rFonts w:ascii="Courier New" w:hAnsi="Courier New" w:cs="Courier New" w:hint="default"/>
      </w:rPr>
    </w:lvl>
    <w:lvl w:ilvl="8" w:tentative="1">
      <w:start w:val="1"/>
      <w:numFmt w:val="bullet"/>
      <w:lvlText w:val=""/>
      <w:lvlJc w:val="left"/>
      <w:pPr>
        <w:ind w:left="6660" w:hanging="360"/>
      </w:pPr>
      <w:rPr>
        <w:rFonts w:ascii="Wingdings" w:hAnsi="Wingdings" w:hint="default"/>
      </w:rPr>
    </w:lvl>
  </w:abstractNum>
  <w:num w:numId="1" w16cid:durableId="702511073">
    <w:abstractNumId w:val="6"/>
  </w:num>
  <w:num w:numId="2" w16cid:durableId="666834128">
    <w:abstractNumId w:val="1"/>
  </w:num>
  <w:num w:numId="3" w16cid:durableId="99759778">
    <w:abstractNumId w:val="8"/>
  </w:num>
  <w:num w:numId="4" w16cid:durableId="172645261">
    <w:abstractNumId w:val="0"/>
  </w:num>
  <w:num w:numId="5" w16cid:durableId="1176770808">
    <w:abstractNumId w:val="3"/>
  </w:num>
  <w:num w:numId="6" w16cid:durableId="2123644717">
    <w:abstractNumId w:val="3"/>
  </w:num>
  <w:num w:numId="7" w16cid:durableId="79177383">
    <w:abstractNumId w:val="5"/>
  </w:num>
  <w:num w:numId="8" w16cid:durableId="976060009">
    <w:abstractNumId w:val="7"/>
  </w:num>
  <w:num w:numId="9" w16cid:durableId="1087651309">
    <w:abstractNumId w:val="4"/>
  </w:num>
  <w:num w:numId="10" w16cid:durableId="509418294">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9C4"/>
    <w:rsid w:val="000018E2"/>
    <w:rsid w:val="00002869"/>
    <w:rsid w:val="000116BF"/>
    <w:rsid w:val="00016794"/>
    <w:rsid w:val="00017DE8"/>
    <w:rsid w:val="00023BFE"/>
    <w:rsid w:val="00025A02"/>
    <w:rsid w:val="000276A4"/>
    <w:rsid w:val="000339B1"/>
    <w:rsid w:val="00034FCC"/>
    <w:rsid w:val="00042C0B"/>
    <w:rsid w:val="00043240"/>
    <w:rsid w:val="000432D0"/>
    <w:rsid w:val="00045279"/>
    <w:rsid w:val="000507F1"/>
    <w:rsid w:val="000610B7"/>
    <w:rsid w:val="00062027"/>
    <w:rsid w:val="00062539"/>
    <w:rsid w:val="000703B4"/>
    <w:rsid w:val="0007116F"/>
    <w:rsid w:val="0007357A"/>
    <w:rsid w:val="000801CB"/>
    <w:rsid w:val="00083CE7"/>
    <w:rsid w:val="00084A31"/>
    <w:rsid w:val="000859E5"/>
    <w:rsid w:val="00087472"/>
    <w:rsid w:val="00087ADA"/>
    <w:rsid w:val="0009182C"/>
    <w:rsid w:val="00093D12"/>
    <w:rsid w:val="000961AE"/>
    <w:rsid w:val="00096439"/>
    <w:rsid w:val="000A1997"/>
    <w:rsid w:val="000A29B7"/>
    <w:rsid w:val="000A2E67"/>
    <w:rsid w:val="000A3BD2"/>
    <w:rsid w:val="000A502C"/>
    <w:rsid w:val="000A55C1"/>
    <w:rsid w:val="000A5B59"/>
    <w:rsid w:val="000A5BD4"/>
    <w:rsid w:val="000A75FC"/>
    <w:rsid w:val="000A7E03"/>
    <w:rsid w:val="000B13FA"/>
    <w:rsid w:val="000B67B8"/>
    <w:rsid w:val="000C2DB9"/>
    <w:rsid w:val="000C545F"/>
    <w:rsid w:val="000D04B3"/>
    <w:rsid w:val="000D0755"/>
    <w:rsid w:val="000D63D0"/>
    <w:rsid w:val="000E4DC2"/>
    <w:rsid w:val="000E4DF9"/>
    <w:rsid w:val="000E6314"/>
    <w:rsid w:val="000E6A01"/>
    <w:rsid w:val="000E6DC4"/>
    <w:rsid w:val="000F0AC3"/>
    <w:rsid w:val="000F50FE"/>
    <w:rsid w:val="000F58F9"/>
    <w:rsid w:val="000F5AC2"/>
    <w:rsid w:val="00104ADF"/>
    <w:rsid w:val="001142E2"/>
    <w:rsid w:val="0011483D"/>
    <w:rsid w:val="00114AA2"/>
    <w:rsid w:val="00115A88"/>
    <w:rsid w:val="001170DA"/>
    <w:rsid w:val="001205B6"/>
    <w:rsid w:val="001210AE"/>
    <w:rsid w:val="00121728"/>
    <w:rsid w:val="00124877"/>
    <w:rsid w:val="00125A7B"/>
    <w:rsid w:val="001300B2"/>
    <w:rsid w:val="00134066"/>
    <w:rsid w:val="00134EB4"/>
    <w:rsid w:val="00143195"/>
    <w:rsid w:val="00147B26"/>
    <w:rsid w:val="00147D80"/>
    <w:rsid w:val="00150C6B"/>
    <w:rsid w:val="00153016"/>
    <w:rsid w:val="00155FF1"/>
    <w:rsid w:val="001561E5"/>
    <w:rsid w:val="00162AB4"/>
    <w:rsid w:val="001635B0"/>
    <w:rsid w:val="0017187A"/>
    <w:rsid w:val="00172ECB"/>
    <w:rsid w:val="0018371E"/>
    <w:rsid w:val="00184877"/>
    <w:rsid w:val="00193B1F"/>
    <w:rsid w:val="001A3638"/>
    <w:rsid w:val="001A4571"/>
    <w:rsid w:val="001A55FD"/>
    <w:rsid w:val="001A77E2"/>
    <w:rsid w:val="001A7B59"/>
    <w:rsid w:val="001B6D90"/>
    <w:rsid w:val="001C0CAD"/>
    <w:rsid w:val="001C37A5"/>
    <w:rsid w:val="001C7DEA"/>
    <w:rsid w:val="001D508D"/>
    <w:rsid w:val="001E1B01"/>
    <w:rsid w:val="001E3A5C"/>
    <w:rsid w:val="001E76E8"/>
    <w:rsid w:val="001E7EE0"/>
    <w:rsid w:val="001F6C97"/>
    <w:rsid w:val="00200F57"/>
    <w:rsid w:val="002139BA"/>
    <w:rsid w:val="00214C1E"/>
    <w:rsid w:val="00216085"/>
    <w:rsid w:val="0021636A"/>
    <w:rsid w:val="002165FD"/>
    <w:rsid w:val="00222480"/>
    <w:rsid w:val="00222D41"/>
    <w:rsid w:val="002260E4"/>
    <w:rsid w:val="0023004D"/>
    <w:rsid w:val="00232316"/>
    <w:rsid w:val="002342D8"/>
    <w:rsid w:val="002361D4"/>
    <w:rsid w:val="0024111D"/>
    <w:rsid w:val="00242CBD"/>
    <w:rsid w:val="002454E2"/>
    <w:rsid w:val="0025322F"/>
    <w:rsid w:val="002551C1"/>
    <w:rsid w:val="00262CB7"/>
    <w:rsid w:val="002646DD"/>
    <w:rsid w:val="00266242"/>
    <w:rsid w:val="002668A2"/>
    <w:rsid w:val="00270AD5"/>
    <w:rsid w:val="00281CF0"/>
    <w:rsid w:val="00282321"/>
    <w:rsid w:val="00286B5A"/>
    <w:rsid w:val="00291B3C"/>
    <w:rsid w:val="00293A99"/>
    <w:rsid w:val="0029536F"/>
    <w:rsid w:val="002A2B5D"/>
    <w:rsid w:val="002C0B04"/>
    <w:rsid w:val="002C7617"/>
    <w:rsid w:val="002D17E4"/>
    <w:rsid w:val="002D26D6"/>
    <w:rsid w:val="002D439A"/>
    <w:rsid w:val="002D76FF"/>
    <w:rsid w:val="002F0F6E"/>
    <w:rsid w:val="002F321B"/>
    <w:rsid w:val="002F3860"/>
    <w:rsid w:val="0030223D"/>
    <w:rsid w:val="00303C5E"/>
    <w:rsid w:val="00311033"/>
    <w:rsid w:val="00311ED8"/>
    <w:rsid w:val="003165A7"/>
    <w:rsid w:val="00321515"/>
    <w:rsid w:val="0032351E"/>
    <w:rsid w:val="00323E38"/>
    <w:rsid w:val="003242A4"/>
    <w:rsid w:val="00325314"/>
    <w:rsid w:val="00326C2E"/>
    <w:rsid w:val="003303B5"/>
    <w:rsid w:val="00331A8D"/>
    <w:rsid w:val="00332BC8"/>
    <w:rsid w:val="003331F0"/>
    <w:rsid w:val="0033321E"/>
    <w:rsid w:val="00336514"/>
    <w:rsid w:val="003419C0"/>
    <w:rsid w:val="003429B9"/>
    <w:rsid w:val="00343A01"/>
    <w:rsid w:val="00345D89"/>
    <w:rsid w:val="0035263E"/>
    <w:rsid w:val="0035338C"/>
    <w:rsid w:val="00357475"/>
    <w:rsid w:val="00357F60"/>
    <w:rsid w:val="00360EE9"/>
    <w:rsid w:val="00363806"/>
    <w:rsid w:val="003647C5"/>
    <w:rsid w:val="00365977"/>
    <w:rsid w:val="00371142"/>
    <w:rsid w:val="00372575"/>
    <w:rsid w:val="00372B31"/>
    <w:rsid w:val="00374F61"/>
    <w:rsid w:val="003754C3"/>
    <w:rsid w:val="0037696E"/>
    <w:rsid w:val="00376CCC"/>
    <w:rsid w:val="00377631"/>
    <w:rsid w:val="003843EA"/>
    <w:rsid w:val="00397B0A"/>
    <w:rsid w:val="003A1901"/>
    <w:rsid w:val="003B15E8"/>
    <w:rsid w:val="003B26C7"/>
    <w:rsid w:val="003B37FD"/>
    <w:rsid w:val="003C3962"/>
    <w:rsid w:val="003D5083"/>
    <w:rsid w:val="003E0086"/>
    <w:rsid w:val="003E29FC"/>
    <w:rsid w:val="003E44BE"/>
    <w:rsid w:val="003E7E50"/>
    <w:rsid w:val="003F197A"/>
    <w:rsid w:val="003F4C45"/>
    <w:rsid w:val="00403273"/>
    <w:rsid w:val="00403F06"/>
    <w:rsid w:val="004074F4"/>
    <w:rsid w:val="00412064"/>
    <w:rsid w:val="00413E02"/>
    <w:rsid w:val="0041432D"/>
    <w:rsid w:val="00417E8A"/>
    <w:rsid w:val="00420815"/>
    <w:rsid w:val="00425110"/>
    <w:rsid w:val="00431AB6"/>
    <w:rsid w:val="00446B47"/>
    <w:rsid w:val="00452319"/>
    <w:rsid w:val="0045313E"/>
    <w:rsid w:val="00456F6A"/>
    <w:rsid w:val="004577AE"/>
    <w:rsid w:val="0046051D"/>
    <w:rsid w:val="004625C2"/>
    <w:rsid w:val="00465C5C"/>
    <w:rsid w:val="004737D9"/>
    <w:rsid w:val="00477CE6"/>
    <w:rsid w:val="004832E8"/>
    <w:rsid w:val="00484FE1"/>
    <w:rsid w:val="00490B12"/>
    <w:rsid w:val="00491350"/>
    <w:rsid w:val="004921E0"/>
    <w:rsid w:val="004A1CCB"/>
    <w:rsid w:val="004B281C"/>
    <w:rsid w:val="004B3A3F"/>
    <w:rsid w:val="004B408A"/>
    <w:rsid w:val="004B5877"/>
    <w:rsid w:val="004C6F36"/>
    <w:rsid w:val="004D04F4"/>
    <w:rsid w:val="004E0874"/>
    <w:rsid w:val="004E2333"/>
    <w:rsid w:val="004E31D2"/>
    <w:rsid w:val="004F0720"/>
    <w:rsid w:val="004F22C4"/>
    <w:rsid w:val="004F5B89"/>
    <w:rsid w:val="00505F01"/>
    <w:rsid w:val="00507D97"/>
    <w:rsid w:val="005107DC"/>
    <w:rsid w:val="0051185C"/>
    <w:rsid w:val="00515421"/>
    <w:rsid w:val="00520D32"/>
    <w:rsid w:val="0052199A"/>
    <w:rsid w:val="005415C3"/>
    <w:rsid w:val="00547B64"/>
    <w:rsid w:val="00551B8D"/>
    <w:rsid w:val="00555BFF"/>
    <w:rsid w:val="0057011F"/>
    <w:rsid w:val="00570A29"/>
    <w:rsid w:val="005710FF"/>
    <w:rsid w:val="005725D9"/>
    <w:rsid w:val="00573DEC"/>
    <w:rsid w:val="00577651"/>
    <w:rsid w:val="00580350"/>
    <w:rsid w:val="00581628"/>
    <w:rsid w:val="00585DFF"/>
    <w:rsid w:val="00592155"/>
    <w:rsid w:val="00592E8B"/>
    <w:rsid w:val="005951D3"/>
    <w:rsid w:val="005968D6"/>
    <w:rsid w:val="005A0FC7"/>
    <w:rsid w:val="005A3E45"/>
    <w:rsid w:val="005B0EEB"/>
    <w:rsid w:val="005B0FF2"/>
    <w:rsid w:val="005B527C"/>
    <w:rsid w:val="005B6A99"/>
    <w:rsid w:val="005C02B9"/>
    <w:rsid w:val="005C2D9D"/>
    <w:rsid w:val="005C32E6"/>
    <w:rsid w:val="005D0749"/>
    <w:rsid w:val="005D1DA3"/>
    <w:rsid w:val="005D5294"/>
    <w:rsid w:val="005D64CC"/>
    <w:rsid w:val="005D6865"/>
    <w:rsid w:val="005D774B"/>
    <w:rsid w:val="005E6B62"/>
    <w:rsid w:val="005F1100"/>
    <w:rsid w:val="005F233D"/>
    <w:rsid w:val="005F239D"/>
    <w:rsid w:val="005F2AAC"/>
    <w:rsid w:val="005F2B16"/>
    <w:rsid w:val="00602B0F"/>
    <w:rsid w:val="006103BF"/>
    <w:rsid w:val="006172B8"/>
    <w:rsid w:val="00620024"/>
    <w:rsid w:val="00622124"/>
    <w:rsid w:val="0062638A"/>
    <w:rsid w:val="00634108"/>
    <w:rsid w:val="00634163"/>
    <w:rsid w:val="00643DDC"/>
    <w:rsid w:val="00644695"/>
    <w:rsid w:val="0064591D"/>
    <w:rsid w:val="00646FF2"/>
    <w:rsid w:val="00650F6C"/>
    <w:rsid w:val="0065107E"/>
    <w:rsid w:val="00651F1A"/>
    <w:rsid w:val="00656269"/>
    <w:rsid w:val="006562CE"/>
    <w:rsid w:val="00661B92"/>
    <w:rsid w:val="00665D46"/>
    <w:rsid w:val="00675917"/>
    <w:rsid w:val="006827F6"/>
    <w:rsid w:val="00683AF0"/>
    <w:rsid w:val="00686C11"/>
    <w:rsid w:val="006A1512"/>
    <w:rsid w:val="006A1CC3"/>
    <w:rsid w:val="006A6AA5"/>
    <w:rsid w:val="006A6C6B"/>
    <w:rsid w:val="006B27CA"/>
    <w:rsid w:val="006B2AD8"/>
    <w:rsid w:val="006B3D81"/>
    <w:rsid w:val="006C5449"/>
    <w:rsid w:val="006D18A3"/>
    <w:rsid w:val="006D402A"/>
    <w:rsid w:val="006E5492"/>
    <w:rsid w:val="006E5E96"/>
    <w:rsid w:val="006E735D"/>
    <w:rsid w:val="006F3A99"/>
    <w:rsid w:val="006F4525"/>
    <w:rsid w:val="0070523B"/>
    <w:rsid w:val="00706388"/>
    <w:rsid w:val="007117F0"/>
    <w:rsid w:val="007154AA"/>
    <w:rsid w:val="00717AC1"/>
    <w:rsid w:val="0072414E"/>
    <w:rsid w:val="007334EA"/>
    <w:rsid w:val="00735E42"/>
    <w:rsid w:val="007372C0"/>
    <w:rsid w:val="0074228B"/>
    <w:rsid w:val="00750330"/>
    <w:rsid w:val="00750765"/>
    <w:rsid w:val="0075518F"/>
    <w:rsid w:val="00763756"/>
    <w:rsid w:val="00765E9F"/>
    <w:rsid w:val="00767127"/>
    <w:rsid w:val="00771F4B"/>
    <w:rsid w:val="0077233C"/>
    <w:rsid w:val="007733AA"/>
    <w:rsid w:val="00773CBF"/>
    <w:rsid w:val="00787846"/>
    <w:rsid w:val="00790786"/>
    <w:rsid w:val="007927EB"/>
    <w:rsid w:val="00794F8D"/>
    <w:rsid w:val="00797C6E"/>
    <w:rsid w:val="007A14EC"/>
    <w:rsid w:val="007A49A3"/>
    <w:rsid w:val="007A5194"/>
    <w:rsid w:val="007A639F"/>
    <w:rsid w:val="007A7A3F"/>
    <w:rsid w:val="007B0540"/>
    <w:rsid w:val="007B7BED"/>
    <w:rsid w:val="007C1970"/>
    <w:rsid w:val="007C2BE2"/>
    <w:rsid w:val="007C3682"/>
    <w:rsid w:val="007C3EA1"/>
    <w:rsid w:val="007C4CD8"/>
    <w:rsid w:val="007C7C0A"/>
    <w:rsid w:val="007D6F21"/>
    <w:rsid w:val="007E0628"/>
    <w:rsid w:val="007E24CF"/>
    <w:rsid w:val="007E36E7"/>
    <w:rsid w:val="007E58B4"/>
    <w:rsid w:val="007F03C3"/>
    <w:rsid w:val="007F34EC"/>
    <w:rsid w:val="007F55FC"/>
    <w:rsid w:val="007F5C0C"/>
    <w:rsid w:val="007F755A"/>
    <w:rsid w:val="007F761E"/>
    <w:rsid w:val="00805420"/>
    <w:rsid w:val="00810BBB"/>
    <w:rsid w:val="00814046"/>
    <w:rsid w:val="00815448"/>
    <w:rsid w:val="00832398"/>
    <w:rsid w:val="008357DF"/>
    <w:rsid w:val="00845BC7"/>
    <w:rsid w:val="00860B1F"/>
    <w:rsid w:val="0086643D"/>
    <w:rsid w:val="0086724A"/>
    <w:rsid w:val="00872577"/>
    <w:rsid w:val="00877BE3"/>
    <w:rsid w:val="0088557A"/>
    <w:rsid w:val="00886B61"/>
    <w:rsid w:val="008931E4"/>
    <w:rsid w:val="008938AE"/>
    <w:rsid w:val="008970EA"/>
    <w:rsid w:val="008A642E"/>
    <w:rsid w:val="008B0888"/>
    <w:rsid w:val="008B3AF5"/>
    <w:rsid w:val="008B6CE4"/>
    <w:rsid w:val="008C26E9"/>
    <w:rsid w:val="008C30A7"/>
    <w:rsid w:val="008C4EF7"/>
    <w:rsid w:val="008C576C"/>
    <w:rsid w:val="008C5AC9"/>
    <w:rsid w:val="008C6AE3"/>
    <w:rsid w:val="008C741A"/>
    <w:rsid w:val="008D07D0"/>
    <w:rsid w:val="008D17D9"/>
    <w:rsid w:val="008D35C6"/>
    <w:rsid w:val="008D5661"/>
    <w:rsid w:val="008E20C6"/>
    <w:rsid w:val="008E2A50"/>
    <w:rsid w:val="008E641E"/>
    <w:rsid w:val="008F34EB"/>
    <w:rsid w:val="008F373C"/>
    <w:rsid w:val="008F4569"/>
    <w:rsid w:val="00906F6C"/>
    <w:rsid w:val="009131C1"/>
    <w:rsid w:val="00913A9A"/>
    <w:rsid w:val="00914D8B"/>
    <w:rsid w:val="009150E9"/>
    <w:rsid w:val="00915CF7"/>
    <w:rsid w:val="0091682F"/>
    <w:rsid w:val="00916C7A"/>
    <w:rsid w:val="00933EC5"/>
    <w:rsid w:val="00936C9A"/>
    <w:rsid w:val="00940A97"/>
    <w:rsid w:val="00942D70"/>
    <w:rsid w:val="0094322E"/>
    <w:rsid w:val="009450D2"/>
    <w:rsid w:val="00951A51"/>
    <w:rsid w:val="00952918"/>
    <w:rsid w:val="00960938"/>
    <w:rsid w:val="00962CCB"/>
    <w:rsid w:val="0097787D"/>
    <w:rsid w:val="00977CAA"/>
    <w:rsid w:val="0098372D"/>
    <w:rsid w:val="00986147"/>
    <w:rsid w:val="00993698"/>
    <w:rsid w:val="009A2598"/>
    <w:rsid w:val="009A6F10"/>
    <w:rsid w:val="009A77B4"/>
    <w:rsid w:val="009B170A"/>
    <w:rsid w:val="009B3E9C"/>
    <w:rsid w:val="009B7F81"/>
    <w:rsid w:val="009C5CFB"/>
    <w:rsid w:val="009D1BDA"/>
    <w:rsid w:val="009D376A"/>
    <w:rsid w:val="009E120E"/>
    <w:rsid w:val="009E1656"/>
    <w:rsid w:val="009E193E"/>
    <w:rsid w:val="009E1F9B"/>
    <w:rsid w:val="009E2AB4"/>
    <w:rsid w:val="009E2C29"/>
    <w:rsid w:val="009E4D44"/>
    <w:rsid w:val="009E79DE"/>
    <w:rsid w:val="009F1F58"/>
    <w:rsid w:val="009F7B71"/>
    <w:rsid w:val="00A0123F"/>
    <w:rsid w:val="00A05D11"/>
    <w:rsid w:val="00A06F42"/>
    <w:rsid w:val="00A07F61"/>
    <w:rsid w:val="00A1286C"/>
    <w:rsid w:val="00A12E32"/>
    <w:rsid w:val="00A21022"/>
    <w:rsid w:val="00A226FD"/>
    <w:rsid w:val="00A31102"/>
    <w:rsid w:val="00A37791"/>
    <w:rsid w:val="00A4108B"/>
    <w:rsid w:val="00A4246B"/>
    <w:rsid w:val="00A43112"/>
    <w:rsid w:val="00A57985"/>
    <w:rsid w:val="00A5799F"/>
    <w:rsid w:val="00A57EEC"/>
    <w:rsid w:val="00A6724F"/>
    <w:rsid w:val="00A83E99"/>
    <w:rsid w:val="00A900C1"/>
    <w:rsid w:val="00A95AB0"/>
    <w:rsid w:val="00A95BAF"/>
    <w:rsid w:val="00A97EFF"/>
    <w:rsid w:val="00AB3296"/>
    <w:rsid w:val="00AB3557"/>
    <w:rsid w:val="00AB4B8C"/>
    <w:rsid w:val="00AB5BB4"/>
    <w:rsid w:val="00AB6D09"/>
    <w:rsid w:val="00AC0C89"/>
    <w:rsid w:val="00AC455B"/>
    <w:rsid w:val="00AC5A68"/>
    <w:rsid w:val="00AC7000"/>
    <w:rsid w:val="00AD4E71"/>
    <w:rsid w:val="00AD5C04"/>
    <w:rsid w:val="00AE0003"/>
    <w:rsid w:val="00AE17B4"/>
    <w:rsid w:val="00AE405E"/>
    <w:rsid w:val="00AE5458"/>
    <w:rsid w:val="00AE6903"/>
    <w:rsid w:val="00AF725D"/>
    <w:rsid w:val="00B0026A"/>
    <w:rsid w:val="00B026C7"/>
    <w:rsid w:val="00B03BF0"/>
    <w:rsid w:val="00B0675F"/>
    <w:rsid w:val="00B07322"/>
    <w:rsid w:val="00B17F3F"/>
    <w:rsid w:val="00B200DC"/>
    <w:rsid w:val="00B20468"/>
    <w:rsid w:val="00B227E6"/>
    <w:rsid w:val="00B26578"/>
    <w:rsid w:val="00B30291"/>
    <w:rsid w:val="00B340E6"/>
    <w:rsid w:val="00B40035"/>
    <w:rsid w:val="00B41F54"/>
    <w:rsid w:val="00B42103"/>
    <w:rsid w:val="00B43F0C"/>
    <w:rsid w:val="00B4526B"/>
    <w:rsid w:val="00B45522"/>
    <w:rsid w:val="00B45862"/>
    <w:rsid w:val="00B47DBE"/>
    <w:rsid w:val="00B51536"/>
    <w:rsid w:val="00B51A6E"/>
    <w:rsid w:val="00B52895"/>
    <w:rsid w:val="00B57600"/>
    <w:rsid w:val="00B57FE1"/>
    <w:rsid w:val="00B61920"/>
    <w:rsid w:val="00B6475C"/>
    <w:rsid w:val="00B66B02"/>
    <w:rsid w:val="00B721BC"/>
    <w:rsid w:val="00B73D8E"/>
    <w:rsid w:val="00B838AA"/>
    <w:rsid w:val="00B87C5F"/>
    <w:rsid w:val="00B95483"/>
    <w:rsid w:val="00B9590E"/>
    <w:rsid w:val="00B95C6F"/>
    <w:rsid w:val="00BB15D5"/>
    <w:rsid w:val="00BB22EA"/>
    <w:rsid w:val="00BB47E7"/>
    <w:rsid w:val="00BB6084"/>
    <w:rsid w:val="00BB6957"/>
    <w:rsid w:val="00BB6C66"/>
    <w:rsid w:val="00BC43E8"/>
    <w:rsid w:val="00BC5ECA"/>
    <w:rsid w:val="00BC7779"/>
    <w:rsid w:val="00BD3FBF"/>
    <w:rsid w:val="00BD404E"/>
    <w:rsid w:val="00BD7E04"/>
    <w:rsid w:val="00BD7EB8"/>
    <w:rsid w:val="00BE0793"/>
    <w:rsid w:val="00BF178E"/>
    <w:rsid w:val="00C0085E"/>
    <w:rsid w:val="00C01759"/>
    <w:rsid w:val="00C023EF"/>
    <w:rsid w:val="00C07AE3"/>
    <w:rsid w:val="00C117B2"/>
    <w:rsid w:val="00C1397A"/>
    <w:rsid w:val="00C17FE5"/>
    <w:rsid w:val="00C23549"/>
    <w:rsid w:val="00C265B6"/>
    <w:rsid w:val="00C27D01"/>
    <w:rsid w:val="00C340C5"/>
    <w:rsid w:val="00C41E17"/>
    <w:rsid w:val="00C42B01"/>
    <w:rsid w:val="00C43C0E"/>
    <w:rsid w:val="00C5612A"/>
    <w:rsid w:val="00C6206D"/>
    <w:rsid w:val="00C66947"/>
    <w:rsid w:val="00C672D5"/>
    <w:rsid w:val="00C677B4"/>
    <w:rsid w:val="00C76408"/>
    <w:rsid w:val="00C822E2"/>
    <w:rsid w:val="00C82A35"/>
    <w:rsid w:val="00C8637A"/>
    <w:rsid w:val="00C8690D"/>
    <w:rsid w:val="00C9001C"/>
    <w:rsid w:val="00C92300"/>
    <w:rsid w:val="00C97044"/>
    <w:rsid w:val="00CA314E"/>
    <w:rsid w:val="00CA6CBC"/>
    <w:rsid w:val="00CB0F4A"/>
    <w:rsid w:val="00CB35F8"/>
    <w:rsid w:val="00CB443B"/>
    <w:rsid w:val="00CC1CC5"/>
    <w:rsid w:val="00CC4219"/>
    <w:rsid w:val="00CC6788"/>
    <w:rsid w:val="00CD37DF"/>
    <w:rsid w:val="00CD4B24"/>
    <w:rsid w:val="00CE3B8C"/>
    <w:rsid w:val="00CE4031"/>
    <w:rsid w:val="00CF444B"/>
    <w:rsid w:val="00CF4EA6"/>
    <w:rsid w:val="00CF6762"/>
    <w:rsid w:val="00D00106"/>
    <w:rsid w:val="00D04F82"/>
    <w:rsid w:val="00D12735"/>
    <w:rsid w:val="00D13256"/>
    <w:rsid w:val="00D14132"/>
    <w:rsid w:val="00D152BE"/>
    <w:rsid w:val="00D16EBD"/>
    <w:rsid w:val="00D17F5D"/>
    <w:rsid w:val="00D20E8D"/>
    <w:rsid w:val="00D2207D"/>
    <w:rsid w:val="00D308D0"/>
    <w:rsid w:val="00D3226F"/>
    <w:rsid w:val="00D32959"/>
    <w:rsid w:val="00D426D7"/>
    <w:rsid w:val="00D428D4"/>
    <w:rsid w:val="00D53A8B"/>
    <w:rsid w:val="00D566EC"/>
    <w:rsid w:val="00D61165"/>
    <w:rsid w:val="00D61CD1"/>
    <w:rsid w:val="00D65A8C"/>
    <w:rsid w:val="00D65FAA"/>
    <w:rsid w:val="00D75820"/>
    <w:rsid w:val="00D83F53"/>
    <w:rsid w:val="00D84429"/>
    <w:rsid w:val="00D8502A"/>
    <w:rsid w:val="00D906FC"/>
    <w:rsid w:val="00D952ED"/>
    <w:rsid w:val="00D97859"/>
    <w:rsid w:val="00DA183B"/>
    <w:rsid w:val="00DB1E06"/>
    <w:rsid w:val="00DB723D"/>
    <w:rsid w:val="00DB79AE"/>
    <w:rsid w:val="00DC0AAD"/>
    <w:rsid w:val="00DC6424"/>
    <w:rsid w:val="00DD11F7"/>
    <w:rsid w:val="00DD465B"/>
    <w:rsid w:val="00DD4D5B"/>
    <w:rsid w:val="00DE35BE"/>
    <w:rsid w:val="00DF0989"/>
    <w:rsid w:val="00DF4064"/>
    <w:rsid w:val="00DF4855"/>
    <w:rsid w:val="00E03609"/>
    <w:rsid w:val="00E0754E"/>
    <w:rsid w:val="00E102B5"/>
    <w:rsid w:val="00E12606"/>
    <w:rsid w:val="00E12DB3"/>
    <w:rsid w:val="00E14D2B"/>
    <w:rsid w:val="00E1603F"/>
    <w:rsid w:val="00E2226F"/>
    <w:rsid w:val="00E2397F"/>
    <w:rsid w:val="00E3364D"/>
    <w:rsid w:val="00E36348"/>
    <w:rsid w:val="00E36EE3"/>
    <w:rsid w:val="00E37D44"/>
    <w:rsid w:val="00E42BC1"/>
    <w:rsid w:val="00E478D6"/>
    <w:rsid w:val="00E47942"/>
    <w:rsid w:val="00E520E7"/>
    <w:rsid w:val="00E52A12"/>
    <w:rsid w:val="00E548A3"/>
    <w:rsid w:val="00E6023B"/>
    <w:rsid w:val="00E60D32"/>
    <w:rsid w:val="00E61045"/>
    <w:rsid w:val="00E75669"/>
    <w:rsid w:val="00E768EE"/>
    <w:rsid w:val="00E83AA0"/>
    <w:rsid w:val="00E871B9"/>
    <w:rsid w:val="00E90DCB"/>
    <w:rsid w:val="00E94A41"/>
    <w:rsid w:val="00E95364"/>
    <w:rsid w:val="00E959E6"/>
    <w:rsid w:val="00E96AA6"/>
    <w:rsid w:val="00EA20E0"/>
    <w:rsid w:val="00EA23D8"/>
    <w:rsid w:val="00EA44A0"/>
    <w:rsid w:val="00EA56F0"/>
    <w:rsid w:val="00EA7B1B"/>
    <w:rsid w:val="00EB139E"/>
    <w:rsid w:val="00EB2009"/>
    <w:rsid w:val="00EB4881"/>
    <w:rsid w:val="00EB601C"/>
    <w:rsid w:val="00EC1257"/>
    <w:rsid w:val="00EC4F7B"/>
    <w:rsid w:val="00EC652D"/>
    <w:rsid w:val="00ED1963"/>
    <w:rsid w:val="00ED322E"/>
    <w:rsid w:val="00EE1B57"/>
    <w:rsid w:val="00EE23AC"/>
    <w:rsid w:val="00EE4508"/>
    <w:rsid w:val="00EF1724"/>
    <w:rsid w:val="00EF7500"/>
    <w:rsid w:val="00F01DF4"/>
    <w:rsid w:val="00F06208"/>
    <w:rsid w:val="00F10ED0"/>
    <w:rsid w:val="00F11F2F"/>
    <w:rsid w:val="00F146FD"/>
    <w:rsid w:val="00F209EF"/>
    <w:rsid w:val="00F229C4"/>
    <w:rsid w:val="00F30A64"/>
    <w:rsid w:val="00F3174A"/>
    <w:rsid w:val="00F34536"/>
    <w:rsid w:val="00F4101F"/>
    <w:rsid w:val="00F42AA8"/>
    <w:rsid w:val="00F45F06"/>
    <w:rsid w:val="00F523B2"/>
    <w:rsid w:val="00F539A6"/>
    <w:rsid w:val="00F55BF2"/>
    <w:rsid w:val="00F56CDA"/>
    <w:rsid w:val="00F60490"/>
    <w:rsid w:val="00F64965"/>
    <w:rsid w:val="00F72748"/>
    <w:rsid w:val="00F74234"/>
    <w:rsid w:val="00F77690"/>
    <w:rsid w:val="00F80097"/>
    <w:rsid w:val="00F8094E"/>
    <w:rsid w:val="00F81312"/>
    <w:rsid w:val="00F820F4"/>
    <w:rsid w:val="00F90235"/>
    <w:rsid w:val="00F9140A"/>
    <w:rsid w:val="00F93A89"/>
    <w:rsid w:val="00F9588E"/>
    <w:rsid w:val="00FA2C9F"/>
    <w:rsid w:val="00FA33C3"/>
    <w:rsid w:val="00FA73A1"/>
    <w:rsid w:val="00FB0844"/>
    <w:rsid w:val="00FB39A3"/>
    <w:rsid w:val="00FC28E0"/>
    <w:rsid w:val="00FC7078"/>
    <w:rsid w:val="00FC724D"/>
    <w:rsid w:val="00FD12AF"/>
    <w:rsid w:val="00FD4E31"/>
    <w:rsid w:val="00FD55DB"/>
    <w:rsid w:val="00FD74DA"/>
    <w:rsid w:val="00FE03C7"/>
    <w:rsid w:val="00FE1C42"/>
    <w:rsid w:val="00FE2C38"/>
    <w:rsid w:val="00FF2770"/>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44D8631F"/>
  <w15:chartTrackingRefBased/>
  <w15:docId w15:val="{2389EE45-D671-4C13-8124-EA2485A0D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6314"/>
    <w:pPr>
      <w:spacing w:after="0"/>
    </w:pPr>
    <w:rPr>
      <w:rFonts w:ascii="Times New Roman" w:hAnsi="Times New Roman"/>
      <w:sz w:val="24"/>
    </w:rPr>
  </w:style>
  <w:style w:type="paragraph" w:styleId="Heading2">
    <w:name w:val="heading 2"/>
    <w:basedOn w:val="Normal"/>
    <w:link w:val="Virsraksts2Rakstz"/>
    <w:qFormat/>
    <w:rsid w:val="00F229C4"/>
    <w:pPr>
      <w:spacing w:before="100" w:beforeAutospacing="1" w:after="100" w:afterAutospacing="1" w:line="240" w:lineRule="auto"/>
      <w:outlineLvl w:val="1"/>
    </w:pPr>
    <w:rPr>
      <w:rFonts w:eastAsia="Times New Roman" w:cs="Times New Roman"/>
      <w:b/>
      <w:bCs/>
      <w:sz w:val="36"/>
      <w:szCs w:val="36"/>
      <w:lang w:eastAsia="lv-LV"/>
    </w:rPr>
  </w:style>
  <w:style w:type="paragraph" w:styleId="Heading3">
    <w:name w:val="heading 3"/>
    <w:basedOn w:val="Normal"/>
    <w:next w:val="Normal"/>
    <w:link w:val="Virsraksts3Rakstz"/>
    <w:semiHidden/>
    <w:unhideWhenUsed/>
    <w:qFormat/>
    <w:rsid w:val="00F229C4"/>
    <w:pPr>
      <w:keepNext/>
      <w:spacing w:before="240" w:after="60" w:line="240" w:lineRule="auto"/>
      <w:outlineLvl w:val="2"/>
    </w:pPr>
    <w:rPr>
      <w:rFonts w:ascii="Cambria" w:eastAsia="Times New Roman" w:hAnsi="Cambria" w:cs="Times New Roman"/>
      <w:b/>
      <w:bCs/>
      <w:sz w:val="26"/>
      <w:szCs w:val="26"/>
      <w:lang w:eastAsia="lv-LV"/>
    </w:rPr>
  </w:style>
  <w:style w:type="paragraph" w:styleId="Heading4">
    <w:name w:val="heading 4"/>
    <w:basedOn w:val="Normal"/>
    <w:link w:val="Virsraksts4Rakstz"/>
    <w:qFormat/>
    <w:rsid w:val="00F229C4"/>
    <w:pPr>
      <w:spacing w:before="100" w:beforeAutospacing="1" w:after="100" w:afterAutospacing="1" w:line="240" w:lineRule="auto"/>
      <w:outlineLvl w:val="3"/>
    </w:pPr>
    <w:rPr>
      <w:rFonts w:eastAsia="Times New Roman" w:cs="Times New Roman"/>
      <w:b/>
      <w:bCs/>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irsraksts2Rakstz">
    <w:name w:val="Virsraksts 2 Rakstz."/>
    <w:basedOn w:val="DefaultParagraphFont"/>
    <w:link w:val="Heading2"/>
    <w:rsid w:val="00F229C4"/>
    <w:rPr>
      <w:rFonts w:ascii="Times New Roman" w:eastAsia="Times New Roman" w:hAnsi="Times New Roman" w:cs="Times New Roman"/>
      <w:b/>
      <w:bCs/>
      <w:sz w:val="36"/>
      <w:szCs w:val="36"/>
      <w:lang w:eastAsia="lv-LV"/>
    </w:rPr>
  </w:style>
  <w:style w:type="character" w:customStyle="1" w:styleId="Virsraksts3Rakstz">
    <w:name w:val="Virsraksts 3 Rakstz."/>
    <w:basedOn w:val="DefaultParagraphFont"/>
    <w:link w:val="Heading3"/>
    <w:semiHidden/>
    <w:rsid w:val="00F229C4"/>
    <w:rPr>
      <w:rFonts w:ascii="Cambria" w:eastAsia="Times New Roman" w:hAnsi="Cambria" w:cs="Times New Roman"/>
      <w:b/>
      <w:bCs/>
      <w:sz w:val="26"/>
      <w:szCs w:val="26"/>
      <w:lang w:eastAsia="lv-LV"/>
    </w:rPr>
  </w:style>
  <w:style w:type="character" w:customStyle="1" w:styleId="Virsraksts4Rakstz">
    <w:name w:val="Virsraksts 4 Rakstz."/>
    <w:basedOn w:val="DefaultParagraphFont"/>
    <w:link w:val="Heading4"/>
    <w:rsid w:val="00F229C4"/>
    <w:rPr>
      <w:rFonts w:ascii="Times New Roman" w:eastAsia="Times New Roman" w:hAnsi="Times New Roman" w:cs="Times New Roman"/>
      <w:b/>
      <w:bCs/>
      <w:sz w:val="24"/>
      <w:szCs w:val="24"/>
      <w:lang w:eastAsia="lv-LV"/>
    </w:rPr>
  </w:style>
  <w:style w:type="numbering" w:customStyle="1" w:styleId="Bezsaraksta1">
    <w:name w:val="Bez saraksta1"/>
    <w:next w:val="NoList"/>
    <w:uiPriority w:val="99"/>
    <w:semiHidden/>
    <w:rsid w:val="00F229C4"/>
  </w:style>
  <w:style w:type="table" w:styleId="TableGrid">
    <w:name w:val="Table Grid"/>
    <w:basedOn w:val="TableNormal"/>
    <w:rsid w:val="00F229C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KjeneRakstz"/>
    <w:uiPriority w:val="99"/>
    <w:rsid w:val="00F229C4"/>
    <w:pPr>
      <w:tabs>
        <w:tab w:val="center" w:pos="4153"/>
        <w:tab w:val="right" w:pos="8306"/>
      </w:tabs>
      <w:spacing w:line="240" w:lineRule="auto"/>
    </w:pPr>
    <w:rPr>
      <w:rFonts w:eastAsia="Times New Roman" w:cs="Times New Roman"/>
      <w:szCs w:val="24"/>
      <w:lang w:eastAsia="lv-LV"/>
    </w:rPr>
  </w:style>
  <w:style w:type="character" w:customStyle="1" w:styleId="KjeneRakstz">
    <w:name w:val="Kājene Rakstz."/>
    <w:basedOn w:val="DefaultParagraphFont"/>
    <w:link w:val="Footer"/>
    <w:uiPriority w:val="99"/>
    <w:rsid w:val="00F229C4"/>
    <w:rPr>
      <w:rFonts w:ascii="Times New Roman" w:eastAsia="Times New Roman" w:hAnsi="Times New Roman" w:cs="Times New Roman"/>
      <w:sz w:val="24"/>
      <w:szCs w:val="24"/>
      <w:lang w:eastAsia="lv-LV"/>
    </w:rPr>
  </w:style>
  <w:style w:type="character" w:styleId="PageNumber">
    <w:name w:val="page number"/>
    <w:basedOn w:val="DefaultParagraphFont"/>
    <w:rsid w:val="00F229C4"/>
  </w:style>
  <w:style w:type="paragraph" w:styleId="Header">
    <w:name w:val="header"/>
    <w:basedOn w:val="Normal"/>
    <w:link w:val="GalveneRakstz"/>
    <w:rsid w:val="00F229C4"/>
    <w:pPr>
      <w:tabs>
        <w:tab w:val="center" w:pos="4153"/>
        <w:tab w:val="right" w:pos="8306"/>
      </w:tabs>
      <w:spacing w:line="240" w:lineRule="auto"/>
    </w:pPr>
    <w:rPr>
      <w:rFonts w:eastAsia="Times New Roman" w:cs="Times New Roman"/>
      <w:szCs w:val="24"/>
      <w:lang w:eastAsia="lv-LV"/>
    </w:rPr>
  </w:style>
  <w:style w:type="character" w:customStyle="1" w:styleId="GalveneRakstz">
    <w:name w:val="Galvene Rakstz."/>
    <w:basedOn w:val="DefaultParagraphFont"/>
    <w:link w:val="Header"/>
    <w:rsid w:val="00F229C4"/>
    <w:rPr>
      <w:rFonts w:ascii="Times New Roman" w:eastAsia="Times New Roman" w:hAnsi="Times New Roman" w:cs="Times New Roman"/>
      <w:sz w:val="24"/>
      <w:szCs w:val="24"/>
      <w:lang w:eastAsia="lv-LV"/>
    </w:rPr>
  </w:style>
  <w:style w:type="paragraph" w:styleId="BalloonText">
    <w:name w:val="Balloon Text"/>
    <w:basedOn w:val="Normal"/>
    <w:link w:val="BalontekstsRakstz"/>
    <w:semiHidden/>
    <w:rsid w:val="00F229C4"/>
    <w:pPr>
      <w:spacing w:line="240" w:lineRule="auto"/>
    </w:pPr>
    <w:rPr>
      <w:rFonts w:ascii="Tahoma" w:eastAsia="Times New Roman" w:hAnsi="Tahoma" w:cs="Tahoma"/>
      <w:sz w:val="16"/>
      <w:szCs w:val="16"/>
      <w:lang w:eastAsia="lv-LV"/>
    </w:rPr>
  </w:style>
  <w:style w:type="character" w:customStyle="1" w:styleId="BalontekstsRakstz">
    <w:name w:val="Balonteksts Rakstz."/>
    <w:basedOn w:val="DefaultParagraphFont"/>
    <w:link w:val="BalloonText"/>
    <w:semiHidden/>
    <w:rsid w:val="00F229C4"/>
    <w:rPr>
      <w:rFonts w:ascii="Tahoma" w:eastAsia="Times New Roman" w:hAnsi="Tahoma" w:cs="Tahoma"/>
      <w:sz w:val="16"/>
      <w:szCs w:val="16"/>
      <w:lang w:eastAsia="lv-LV"/>
    </w:rPr>
  </w:style>
  <w:style w:type="paragraph" w:styleId="BodyText">
    <w:name w:val="Body Text"/>
    <w:basedOn w:val="Normal"/>
    <w:link w:val="PamattekstsRakstz"/>
    <w:rsid w:val="00F229C4"/>
    <w:pPr>
      <w:spacing w:line="240" w:lineRule="auto"/>
      <w:jc w:val="both"/>
    </w:pPr>
    <w:rPr>
      <w:rFonts w:eastAsia="Times New Roman" w:cs="Times New Roman"/>
      <w:szCs w:val="24"/>
    </w:rPr>
  </w:style>
  <w:style w:type="character" w:customStyle="1" w:styleId="PamattekstsRakstz">
    <w:name w:val="Pamatteksts Rakstz."/>
    <w:basedOn w:val="DefaultParagraphFont"/>
    <w:link w:val="BodyText"/>
    <w:rsid w:val="00F229C4"/>
    <w:rPr>
      <w:rFonts w:ascii="Times New Roman" w:eastAsia="Times New Roman" w:hAnsi="Times New Roman" w:cs="Times New Roman"/>
      <w:sz w:val="24"/>
      <w:szCs w:val="24"/>
    </w:rPr>
  </w:style>
  <w:style w:type="paragraph" w:styleId="BodyTextIndent">
    <w:name w:val="Body Text Indent"/>
    <w:basedOn w:val="Normal"/>
    <w:link w:val="PamattekstsaratkpiRakstz"/>
    <w:rsid w:val="00F229C4"/>
    <w:pPr>
      <w:spacing w:after="120" w:line="240" w:lineRule="auto"/>
      <w:ind w:left="283"/>
    </w:pPr>
    <w:rPr>
      <w:rFonts w:eastAsia="Times New Roman" w:cs="Times New Roman"/>
      <w:szCs w:val="24"/>
      <w:lang w:eastAsia="lv-LV"/>
    </w:rPr>
  </w:style>
  <w:style w:type="character" w:customStyle="1" w:styleId="PamattekstsaratkpiRakstz">
    <w:name w:val="Pamatteksts ar atkāpi Rakstz."/>
    <w:basedOn w:val="DefaultParagraphFont"/>
    <w:link w:val="BodyTextIndent"/>
    <w:rsid w:val="00F229C4"/>
    <w:rPr>
      <w:rFonts w:ascii="Times New Roman" w:eastAsia="Times New Roman" w:hAnsi="Times New Roman" w:cs="Times New Roman"/>
      <w:sz w:val="24"/>
      <w:szCs w:val="24"/>
      <w:lang w:eastAsia="lv-LV"/>
    </w:rPr>
  </w:style>
  <w:style w:type="character" w:styleId="Emphasis">
    <w:name w:val="Emphasis"/>
    <w:qFormat/>
    <w:rsid w:val="00F229C4"/>
    <w:rPr>
      <w:i/>
      <w:iCs/>
    </w:rPr>
  </w:style>
  <w:style w:type="paragraph" w:customStyle="1" w:styleId="naisf">
    <w:name w:val="naisf"/>
    <w:basedOn w:val="Normal"/>
    <w:rsid w:val="00F229C4"/>
    <w:pPr>
      <w:spacing w:before="75" w:after="75" w:line="240" w:lineRule="auto"/>
      <w:ind w:firstLine="375"/>
      <w:jc w:val="both"/>
    </w:pPr>
    <w:rPr>
      <w:rFonts w:eastAsia="Times New Roman" w:cs="Times New Roman"/>
      <w:szCs w:val="24"/>
      <w:lang w:val="en-US"/>
    </w:rPr>
  </w:style>
  <w:style w:type="paragraph" w:styleId="DocumentMap">
    <w:name w:val="Document Map"/>
    <w:basedOn w:val="Normal"/>
    <w:link w:val="DokumentakarteRakstz"/>
    <w:semiHidden/>
    <w:rsid w:val="00F229C4"/>
    <w:pPr>
      <w:shd w:val="clear" w:color="auto" w:fill="000080"/>
      <w:spacing w:line="240" w:lineRule="auto"/>
    </w:pPr>
    <w:rPr>
      <w:rFonts w:ascii="Tahoma" w:eastAsia="Times New Roman" w:hAnsi="Tahoma" w:cs="Tahoma"/>
      <w:sz w:val="20"/>
      <w:szCs w:val="20"/>
      <w:lang w:eastAsia="lv-LV"/>
    </w:rPr>
  </w:style>
  <w:style w:type="character" w:customStyle="1" w:styleId="DokumentakarteRakstz">
    <w:name w:val="Dokumenta karte Rakstz."/>
    <w:basedOn w:val="DefaultParagraphFont"/>
    <w:link w:val="DocumentMap"/>
    <w:semiHidden/>
    <w:rsid w:val="00F229C4"/>
    <w:rPr>
      <w:rFonts w:ascii="Tahoma" w:eastAsia="Times New Roman" w:hAnsi="Tahoma" w:cs="Tahoma"/>
      <w:sz w:val="20"/>
      <w:szCs w:val="20"/>
      <w:shd w:val="clear" w:color="auto" w:fill="000080"/>
      <w:lang w:eastAsia="lv-LV"/>
    </w:rPr>
  </w:style>
  <w:style w:type="paragraph" w:styleId="NormalWeb">
    <w:name w:val="Normal (Web)"/>
    <w:basedOn w:val="Normal"/>
    <w:uiPriority w:val="99"/>
    <w:rsid w:val="00F229C4"/>
    <w:pPr>
      <w:spacing w:before="100" w:beforeAutospacing="1" w:after="100" w:afterAutospacing="1" w:line="240" w:lineRule="auto"/>
    </w:pPr>
    <w:rPr>
      <w:rFonts w:eastAsia="Times New Roman" w:cs="Times New Roman"/>
      <w:szCs w:val="24"/>
      <w:lang w:eastAsia="lv-LV"/>
    </w:rPr>
  </w:style>
  <w:style w:type="character" w:styleId="Hyperlink">
    <w:name w:val="Hyperlink"/>
    <w:uiPriority w:val="99"/>
    <w:rsid w:val="00F229C4"/>
    <w:rPr>
      <w:color w:val="0000FF"/>
      <w:u w:val="single"/>
    </w:rPr>
  </w:style>
  <w:style w:type="paragraph" w:customStyle="1" w:styleId="sharetool">
    <w:name w:val="share_tool"/>
    <w:basedOn w:val="Normal"/>
    <w:rsid w:val="00F229C4"/>
    <w:pPr>
      <w:spacing w:before="100" w:beforeAutospacing="1" w:after="100" w:afterAutospacing="1" w:line="240" w:lineRule="auto"/>
    </w:pPr>
    <w:rPr>
      <w:rFonts w:eastAsia="Times New Roman" w:cs="Times New Roman"/>
      <w:szCs w:val="24"/>
      <w:lang w:eastAsia="lv-LV"/>
    </w:rPr>
  </w:style>
  <w:style w:type="character" w:customStyle="1" w:styleId="selfademblemrusademblem">
    <w:name w:val="selfademblem rusademblem"/>
    <w:basedOn w:val="DefaultParagraphFont"/>
    <w:rsid w:val="00F229C4"/>
  </w:style>
  <w:style w:type="character" w:styleId="Strong">
    <w:name w:val="Strong"/>
    <w:uiPriority w:val="22"/>
    <w:qFormat/>
    <w:rsid w:val="00F229C4"/>
    <w:rPr>
      <w:b/>
      <w:bCs/>
    </w:rPr>
  </w:style>
  <w:style w:type="paragraph" w:styleId="FootnoteText">
    <w:name w:val="footnote text"/>
    <w:basedOn w:val="Normal"/>
    <w:link w:val="VrestekstsRakstz"/>
    <w:semiHidden/>
    <w:rsid w:val="00F229C4"/>
    <w:pPr>
      <w:spacing w:line="240" w:lineRule="auto"/>
    </w:pPr>
    <w:rPr>
      <w:rFonts w:eastAsia="Times New Roman" w:cs="Times New Roman"/>
      <w:sz w:val="20"/>
      <w:szCs w:val="20"/>
      <w:lang w:eastAsia="lv-LV"/>
    </w:rPr>
  </w:style>
  <w:style w:type="character" w:customStyle="1" w:styleId="VrestekstsRakstz">
    <w:name w:val="Vēres teksts Rakstz."/>
    <w:basedOn w:val="DefaultParagraphFont"/>
    <w:link w:val="FootnoteText"/>
    <w:semiHidden/>
    <w:rsid w:val="00F229C4"/>
    <w:rPr>
      <w:rFonts w:ascii="Times New Roman" w:eastAsia="Times New Roman" w:hAnsi="Times New Roman" w:cs="Times New Roman"/>
      <w:sz w:val="20"/>
      <w:szCs w:val="20"/>
      <w:lang w:eastAsia="lv-LV"/>
    </w:rPr>
  </w:style>
  <w:style w:type="character" w:styleId="FootnoteReference">
    <w:name w:val="footnote reference"/>
    <w:semiHidden/>
    <w:rsid w:val="00F229C4"/>
    <w:rPr>
      <w:vertAlign w:val="superscript"/>
    </w:rPr>
  </w:style>
  <w:style w:type="paragraph" w:styleId="Revision">
    <w:name w:val="Revision"/>
    <w:hidden/>
    <w:uiPriority w:val="99"/>
    <w:semiHidden/>
    <w:rsid w:val="00F229C4"/>
    <w:pPr>
      <w:spacing w:after="0" w:line="240" w:lineRule="auto"/>
    </w:pPr>
    <w:rPr>
      <w:rFonts w:ascii="Times New Roman" w:eastAsia="Times New Roman" w:hAnsi="Times New Roman" w:cs="Times New Roman"/>
      <w:sz w:val="24"/>
      <w:szCs w:val="24"/>
      <w:lang w:eastAsia="lv-LV"/>
    </w:rPr>
  </w:style>
  <w:style w:type="paragraph" w:styleId="Caption">
    <w:name w:val="caption"/>
    <w:basedOn w:val="Normal"/>
    <w:next w:val="Normal"/>
    <w:qFormat/>
    <w:rsid w:val="00F229C4"/>
    <w:pPr>
      <w:spacing w:line="240" w:lineRule="auto"/>
      <w:jc w:val="center"/>
    </w:pPr>
    <w:rPr>
      <w:rFonts w:eastAsia="Times New Roman" w:cs="Times New Roman"/>
      <w:sz w:val="40"/>
      <w:szCs w:val="40"/>
    </w:rPr>
  </w:style>
  <w:style w:type="character" w:customStyle="1" w:styleId="apple-converted-space">
    <w:name w:val="apple-converted-space"/>
    <w:rsid w:val="00F229C4"/>
  </w:style>
  <w:style w:type="paragraph" w:customStyle="1" w:styleId="Pamatteksts21">
    <w:name w:val="Pamatteksts 21"/>
    <w:basedOn w:val="Normal"/>
    <w:rsid w:val="00F229C4"/>
    <w:pPr>
      <w:overflowPunct w:val="0"/>
      <w:autoSpaceDE w:val="0"/>
      <w:autoSpaceDN w:val="0"/>
      <w:adjustRightInd w:val="0"/>
      <w:spacing w:line="240" w:lineRule="auto"/>
      <w:ind w:left="283" w:hanging="283"/>
      <w:textAlignment w:val="baseline"/>
    </w:pPr>
    <w:rPr>
      <w:rFonts w:eastAsia="Times New Roman" w:cs="Times New Roman"/>
      <w:szCs w:val="20"/>
      <w:lang w:eastAsia="lv-LV"/>
    </w:rPr>
  </w:style>
  <w:style w:type="paragraph" w:styleId="ListParagraph">
    <w:name w:val="List Paragraph"/>
    <w:basedOn w:val="Normal"/>
    <w:uiPriority w:val="34"/>
    <w:qFormat/>
    <w:rsid w:val="00F229C4"/>
    <w:pPr>
      <w:spacing w:line="240" w:lineRule="auto"/>
      <w:ind w:left="720"/>
    </w:pPr>
    <w:rPr>
      <w:rFonts w:ascii="Arial" w:eastAsia="Calibri" w:hAnsi="Arial" w:cs="Arial"/>
      <w:sz w:val="20"/>
      <w:szCs w:val="20"/>
      <w:lang w:eastAsia="lv-LV"/>
    </w:rPr>
  </w:style>
  <w:style w:type="character" w:styleId="CommentReference">
    <w:name w:val="annotation reference"/>
    <w:rsid w:val="00F229C4"/>
    <w:rPr>
      <w:sz w:val="16"/>
      <w:szCs w:val="16"/>
    </w:rPr>
  </w:style>
  <w:style w:type="paragraph" w:styleId="CommentText">
    <w:name w:val="annotation text"/>
    <w:basedOn w:val="Normal"/>
    <w:link w:val="KomentratekstsRakstz"/>
    <w:rsid w:val="00F229C4"/>
    <w:pPr>
      <w:spacing w:line="240" w:lineRule="auto"/>
    </w:pPr>
    <w:rPr>
      <w:rFonts w:eastAsia="Times New Roman" w:cs="Times New Roman"/>
      <w:sz w:val="20"/>
      <w:szCs w:val="20"/>
      <w:lang w:eastAsia="lv-LV"/>
    </w:rPr>
  </w:style>
  <w:style w:type="character" w:customStyle="1" w:styleId="KomentratekstsRakstz">
    <w:name w:val="Komentāra teksts Rakstz."/>
    <w:basedOn w:val="DefaultParagraphFont"/>
    <w:link w:val="CommentText"/>
    <w:rsid w:val="00F229C4"/>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KomentratmaRakstz"/>
    <w:rsid w:val="00F229C4"/>
    <w:rPr>
      <w:b/>
      <w:bCs/>
    </w:rPr>
  </w:style>
  <w:style w:type="character" w:customStyle="1" w:styleId="KomentratmaRakstz">
    <w:name w:val="Komentāra tēma Rakstz."/>
    <w:basedOn w:val="KomentratekstsRakstz"/>
    <w:link w:val="CommentSubject"/>
    <w:rsid w:val="00F229C4"/>
    <w:rPr>
      <w:rFonts w:ascii="Times New Roman" w:eastAsia="Times New Roman" w:hAnsi="Times New Roman" w:cs="Times New Roman"/>
      <w:b/>
      <w:bCs/>
      <w:sz w:val="20"/>
      <w:szCs w:val="20"/>
      <w:lang w:eastAsia="lv-LV"/>
    </w:rPr>
  </w:style>
  <w:style w:type="paragraph" w:customStyle="1" w:styleId="msonormal">
    <w:name w:val="msonormal"/>
    <w:basedOn w:val="Normal"/>
    <w:rsid w:val="00F229C4"/>
    <w:pPr>
      <w:spacing w:before="100" w:beforeAutospacing="1" w:after="100" w:afterAutospacing="1" w:line="240" w:lineRule="auto"/>
    </w:pPr>
    <w:rPr>
      <w:rFonts w:eastAsia="Times New Roman" w:cs="Times New Roman"/>
      <w:szCs w:val="24"/>
      <w:lang w:eastAsia="lv-LV"/>
    </w:rPr>
  </w:style>
  <w:style w:type="character" w:styleId="UnresolvedMention">
    <w:name w:val="Unresolved Mention"/>
    <w:basedOn w:val="DefaultParagraphFont"/>
    <w:uiPriority w:val="99"/>
    <w:semiHidden/>
    <w:unhideWhenUsed/>
    <w:rsid w:val="00E3364D"/>
    <w:rPr>
      <w:color w:val="605E5C"/>
      <w:shd w:val="clear" w:color="auto" w:fill="E1DFDD"/>
    </w:rPr>
  </w:style>
  <w:style w:type="table" w:customStyle="1" w:styleId="TableNormal1">
    <w:name w:val="Table Normal1"/>
    <w:uiPriority w:val="2"/>
    <w:semiHidden/>
    <w:unhideWhenUsed/>
    <w:qFormat/>
    <w:rsid w:val="00AB4B8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4B8C"/>
    <w:pPr>
      <w:widowControl w:val="0"/>
      <w:autoSpaceDE w:val="0"/>
      <w:autoSpaceDN w:val="0"/>
      <w:spacing w:line="240" w:lineRule="auto"/>
      <w:jc w:val="center"/>
    </w:pPr>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image" Target="file:///C:\AppData\Local\SINTIJ~1.VLA\AppData\Local\Temp\RDLIS\Rigas_gerbonis.JPG" TargetMode="External" /><Relationship Id="rId7" Type="http://schemas.openxmlformats.org/officeDocument/2006/relationships/chart" Target="charts/chart1.xml" /><Relationship Id="rId8" Type="http://schemas.openxmlformats.org/officeDocument/2006/relationships/footer" Target="footer1.xml" /><Relationship Id="rId9" Type="http://schemas.openxmlformats.org/officeDocument/2006/relationships/footer" Target="footer2.xml" /></Relationships>
</file>

<file path=word/charts/_rels/chart1.xml.rels><?xml version="1.0" encoding="utf-8" standalone="yes"?><Relationships xmlns="http://schemas.openxmlformats.org/package/2006/relationships"><Relationship Id="rId1" Type="http://schemas.openxmlformats.org/officeDocument/2006/relationships/package" Target="../embeddings/Microsoft_Excel_Worksheet1.xlsx" /><Relationship Id="rId2" Type="http://schemas.openxmlformats.org/officeDocument/2006/relationships/themeOverride" Target="../theme/themeOverride1.xml" /></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v-LV"/>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lv-LV"/>
              <a:t>Fiksēto/mainīgo</a:t>
            </a:r>
            <a:r>
              <a:rPr lang="lv-LV" baseline="0"/>
              <a:t> likmju attiecība aizņēmuma portfelī</a:t>
            </a:r>
            <a:endParaRPr lang="lv-LV"/>
          </a:p>
        </c:rich>
      </c:tx>
      <c:layout/>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1"/>
          <c:order val="0"/>
          <c:tx>
            <c:strRef>
              <c:f>'Kopa (2)'!$A$38</c:f>
              <c:strCache>
                <c:ptCount val="1"/>
                <c:pt idx="0">
                  <c:v>Fiksētā procentu likme</c:v>
                </c:pt>
              </c:strCache>
            </c:strRef>
          </c:tx>
          <c:invertIfNegative val="0"/>
          <c:dLbls>
            <c:dLbl>
              <c:idx val="1"/>
              <c:layout>
                <c:manualLayout>
                  <c:x val="0.016666666666666666"/>
                  <c:y val="-0.0046296296296296294"/>
                </c:manualLayout>
              </c:layout>
              <c:txPr>
                <a:bodyPr/>
                <a:lstStyle/>
                <a:p>
                  <a:pPr>
                    <a:defRPr sz="800"/>
                  </a:pPr>
                  <a:endParaRPr lang="lv-LV"/>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14B-4B80-9E36-3B7E38B68B43}"/>
                </c:ext>
              </c:extLst>
            </c:dLbl>
            <c:dLbl>
              <c:idx val="2"/>
              <c:layout>
                <c:manualLayout>
                  <c:x val="0.016666666666666666"/>
                  <c:y val="-8.4875562720133283E-17"/>
                </c:manualLayout>
              </c:layout>
              <c:txPr>
                <a:bodyPr/>
                <a:lstStyle/>
                <a:p>
                  <a:pPr>
                    <a:defRPr sz="800"/>
                  </a:pPr>
                  <a:endParaRPr lang="lv-LV"/>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14B-4B80-9E36-3B7E38B68B43}"/>
                </c:ext>
              </c:extLst>
            </c:dLbl>
            <c:dLbl>
              <c:idx val="3"/>
              <c:layout>
                <c:manualLayout>
                  <c:x val="0.013888888888888888"/>
                  <c:y val="0"/>
                </c:manualLayout>
              </c:layout>
              <c:txPr>
                <a:bodyPr/>
                <a:lstStyle/>
                <a:p>
                  <a:pPr>
                    <a:defRPr sz="800"/>
                  </a:pPr>
                  <a:endParaRPr lang="lv-LV"/>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14B-4B80-9E36-3B7E38B68B43}"/>
                </c:ext>
              </c:extLst>
            </c:dLbl>
            <c:dLbl>
              <c:idx val="4"/>
              <c:layout>
                <c:manualLayout>
                  <c:x val="0.019444444444444445"/>
                  <c:y val="0"/>
                </c:manualLayout>
              </c:layout>
              <c:txPr>
                <a:bodyPr/>
                <a:lstStyle/>
                <a:p>
                  <a:pPr>
                    <a:defRPr sz="800"/>
                  </a:pPr>
                  <a:endParaRPr lang="lv-LV"/>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14B-4B80-9E36-3B7E38B68B43}"/>
                </c:ext>
              </c:extLst>
            </c:dLbl>
            <c:dLbl>
              <c:idx val="5"/>
              <c:layout>
                <c:manualLayout>
                  <c:x val="0.011111111111111112"/>
                  <c:y val="-8.4875562720133283E-17"/>
                </c:manualLayout>
              </c:layout>
              <c:txPr>
                <a:bodyPr/>
                <a:lstStyle/>
                <a:p>
                  <a:pPr>
                    <a:defRPr sz="800"/>
                  </a:pPr>
                  <a:endParaRPr lang="lv-LV"/>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14B-4B80-9E36-3B7E38B68B43}"/>
                </c:ext>
              </c:extLst>
            </c:dLbl>
            <c:dLbl>
              <c:idx val="6"/>
              <c:layout>
                <c:manualLayout>
                  <c:x val="0.019444444444444445"/>
                  <c:y val="0"/>
                </c:manualLayout>
              </c:layout>
              <c:txPr>
                <a:bodyPr/>
                <a:lstStyle/>
                <a:p>
                  <a:pPr>
                    <a:defRPr sz="800"/>
                  </a:pPr>
                  <a:endParaRPr lang="lv-LV"/>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14B-4B80-9E36-3B7E38B68B43}"/>
                </c:ext>
              </c:extLst>
            </c:dLbl>
            <c:dLbl>
              <c:idx val="7"/>
              <c:layout>
                <c:manualLayout>
                  <c:x val="0.019444444444444445"/>
                  <c:y val="-0.0046296296296296294"/>
                </c:manualLayout>
              </c:layout>
              <c:txPr>
                <a:bodyPr/>
                <a:lstStyle/>
                <a:p>
                  <a:pPr>
                    <a:defRPr sz="800"/>
                  </a:pPr>
                  <a:endParaRPr lang="lv-LV"/>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14B-4B80-9E36-3B7E38B68B43}"/>
                </c:ext>
              </c:extLst>
            </c:dLbl>
            <c:dLbl>
              <c:idx val="8"/>
              <c:layout>
                <c:manualLayout>
                  <c:x val="0.016666666666666666"/>
                  <c:y val="-0.0046296296296296294"/>
                </c:manualLayout>
              </c:layout>
              <c:txPr>
                <a:bodyPr/>
                <a:lstStyle/>
                <a:p>
                  <a:pPr>
                    <a:defRPr sz="800"/>
                  </a:pPr>
                  <a:endParaRPr lang="lv-LV"/>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14B-4B80-9E36-3B7E38B68B43}"/>
                </c:ext>
              </c:extLst>
            </c:dLbl>
            <c:dLbl>
              <c:idx val="9"/>
              <c:layout>
                <c:manualLayout>
                  <c:x val="0.019444444444444445"/>
                  <c:y val="-0.0092592592592592587"/>
                </c:manualLayout>
              </c:layout>
              <c:txPr>
                <a:bodyPr/>
                <a:lstStyle/>
                <a:p>
                  <a:pPr>
                    <a:defRPr sz="800"/>
                  </a:pPr>
                  <a:endParaRPr lang="lv-LV"/>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14B-4B80-9E36-3B7E38B68B43}"/>
                </c:ext>
              </c:extLst>
            </c:dLbl>
            <c:dLbl>
              <c:idx val="10"/>
              <c:layout>
                <c:manualLayout>
                  <c:x val="-0.00012460325867345639"/>
                  <c:y val="0.012345679012345678"/>
                </c:manualLayout>
              </c:layout>
              <c:txPr>
                <a:bodyPr/>
                <a:lstStyle/>
                <a:p>
                  <a:pPr>
                    <a:defRPr sz="800"/>
                  </a:pPr>
                  <a:endParaRPr lang="lv-LV"/>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14B-4B80-9E36-3B7E38B68B43}"/>
                </c:ext>
              </c:extLst>
            </c:dLbl>
            <c:dLbl>
              <c:idx val="11"/>
              <c:layout>
                <c:manualLayout>
                  <c:x val="0.024999781277340333"/>
                  <c:y val="0"/>
                </c:manualLayout>
              </c:layout>
              <c:txPr>
                <a:bodyPr/>
                <a:lstStyle/>
                <a:p>
                  <a:pPr>
                    <a:defRPr sz="800"/>
                  </a:pPr>
                  <a:endParaRPr lang="lv-LV"/>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14B-4B80-9E36-3B7E38B68B43}"/>
                </c:ext>
              </c:extLst>
            </c:dLbl>
            <c:spPr>
              <a:noFill/>
              <a:ln w="25400">
                <a:noFill/>
              </a:ln>
            </c:spPr>
            <c:txPr>
              <a:bodyPr wrap="square" lIns="38100" tIns="19050" rIns="38100" bIns="19050" anchor="ctr">
                <a:spAutoFit/>
              </a:bodyPr>
              <a:lstStyle/>
              <a:p>
                <a:pPr>
                  <a:defRPr sz="800"/>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'Kopa (2)'!$C$37:$W$37</c:f>
              <c:numCache>
                <c:formatCode>0</c:formatCode>
                <c:ptCount val="21"/>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pt idx="16">
                  <c:v>2021</c:v>
                </c:pt>
                <c:pt idx="17">
                  <c:v>2022</c:v>
                </c:pt>
                <c:pt idx="18">
                  <c:v>2023</c:v>
                </c:pt>
                <c:pt idx="19">
                  <c:v>2024</c:v>
                </c:pt>
                <c:pt idx="20">
                  <c:v>2025</c:v>
                </c:pt>
              </c:numCache>
            </c:numRef>
          </c:cat>
          <c:val>
            <c:numRef>
              <c:f>'Kopa (2)'!$C$38:$W$38</c:f>
              <c:numCache>
                <c:formatCode>0%</c:formatCode>
                <c:ptCount val="21"/>
                <c:pt idx="0">
                  <c:v>0.95</c:v>
                </c:pt>
                <c:pt idx="1">
                  <c:v>0.91</c:v>
                </c:pt>
                <c:pt idx="2">
                  <c:v>0.8</c:v>
                </c:pt>
                <c:pt idx="3">
                  <c:v>0.92</c:v>
                </c:pt>
                <c:pt idx="4">
                  <c:v>0.91</c:v>
                </c:pt>
                <c:pt idx="5">
                  <c:v>0.8</c:v>
                </c:pt>
                <c:pt idx="6">
                  <c:v>0.79</c:v>
                </c:pt>
                <c:pt idx="7">
                  <c:v>0.78</c:v>
                </c:pt>
                <c:pt idx="8">
                  <c:v>0.75</c:v>
                </c:pt>
                <c:pt idx="9">
                  <c:v>0.7</c:v>
                </c:pt>
                <c:pt idx="10">
                  <c:v>0.63</c:v>
                </c:pt>
                <c:pt idx="11">
                  <c:v>0.65</c:v>
                </c:pt>
                <c:pt idx="12">
                  <c:v>0.68</c:v>
                </c:pt>
                <c:pt idx="13">
                  <c:v>0.69</c:v>
                </c:pt>
                <c:pt idx="14">
                  <c:v>0.71</c:v>
                </c:pt>
                <c:pt idx="15">
                  <c:v>0.72</c:v>
                </c:pt>
                <c:pt idx="16">
                  <c:v>0.7</c:v>
                </c:pt>
                <c:pt idx="17">
                  <c:v>0.67</c:v>
                </c:pt>
                <c:pt idx="18">
                  <c:v>0.68</c:v>
                </c:pt>
                <c:pt idx="19">
                  <c:v>0.69</c:v>
                </c:pt>
                <c:pt idx="20">
                  <c:v>0.70810000000000006</c:v>
                </c:pt>
              </c:numCache>
            </c:numRef>
          </c:val>
          <c:extLst>
            <c:ext xmlns:c16="http://schemas.microsoft.com/office/drawing/2014/chart" uri="{C3380CC4-5D6E-409C-BE32-E72D297353CC}">
              <c16:uniqueId val="{0000000B-A14B-4B80-9E36-3B7E38B68B43}"/>
            </c:ext>
          </c:extLst>
        </c:ser>
        <c:ser>
          <c:idx val="0"/>
          <c:order val="1"/>
          <c:tx>
            <c:strRef>
              <c:f>'Kopa (2)'!$A$39</c:f>
              <c:strCache>
                <c:ptCount val="1"/>
                <c:pt idx="0">
                  <c:v>Mainīgā procentu likme</c:v>
                </c:pt>
              </c:strCache>
            </c:strRef>
          </c:tx>
          <c:invertIfNegative val="0"/>
          <c:dLbls>
            <c:spPr>
              <a:noFill/>
              <a:ln w="25400">
                <a:noFill/>
              </a:ln>
            </c:spPr>
            <c:txPr>
              <a:bodyPr wrap="square" lIns="38100" tIns="19050" rIns="38100" bIns="19050" anchor="ctr">
                <a:spAutoFit/>
              </a:bodyPr>
              <a:lstStyle/>
              <a:p>
                <a:pPr>
                  <a:defRPr sz="800"/>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'Kopa (2)'!$C$39:$W$39</c:f>
              <c:numCache>
                <c:formatCode>0%</c:formatCode>
                <c:ptCount val="21"/>
                <c:pt idx="0">
                  <c:v>0.05</c:v>
                </c:pt>
                <c:pt idx="1">
                  <c:v>0.09</c:v>
                </c:pt>
                <c:pt idx="2">
                  <c:v>0.2</c:v>
                </c:pt>
                <c:pt idx="3">
                  <c:v>0.08</c:v>
                </c:pt>
                <c:pt idx="4">
                  <c:v>0.09</c:v>
                </c:pt>
                <c:pt idx="5">
                  <c:v>0.2</c:v>
                </c:pt>
                <c:pt idx="6">
                  <c:v>0.21</c:v>
                </c:pt>
                <c:pt idx="7">
                  <c:v>0.22</c:v>
                </c:pt>
                <c:pt idx="8">
                  <c:v>0.25</c:v>
                </c:pt>
                <c:pt idx="9">
                  <c:v>0.3</c:v>
                </c:pt>
                <c:pt idx="10">
                  <c:v>0.37</c:v>
                </c:pt>
                <c:pt idx="11">
                  <c:v>0.35</c:v>
                </c:pt>
                <c:pt idx="12">
                  <c:v>0.32</c:v>
                </c:pt>
                <c:pt idx="13">
                  <c:v>0.31</c:v>
                </c:pt>
                <c:pt idx="14">
                  <c:v>0.29</c:v>
                </c:pt>
                <c:pt idx="15">
                  <c:v>0.28</c:v>
                </c:pt>
                <c:pt idx="16">
                  <c:v>0.3</c:v>
                </c:pt>
                <c:pt idx="17">
                  <c:v>0.33</c:v>
                </c:pt>
                <c:pt idx="18">
                  <c:v>0.32</c:v>
                </c:pt>
                <c:pt idx="19">
                  <c:v>0.31</c:v>
                </c:pt>
                <c:pt idx="20">
                  <c:v>0.2919</c:v>
                </c:pt>
              </c:numCache>
            </c:numRef>
          </c:val>
          <c:extLst>
            <c:ext xmlns:c16="http://schemas.microsoft.com/office/drawing/2014/chart" uri="{C3380CC4-5D6E-409C-BE32-E72D297353CC}">
              <c16:uniqueId val="{0000000C-A14B-4B80-9E36-3B7E38B68B43}"/>
            </c:ext>
          </c:extLst>
        </c:ser>
        <c:dLbls>
          <c:showLegendKey val="0"/>
          <c:showVal val="0"/>
          <c:showCatName val="0"/>
          <c:showSerName val="0"/>
          <c:showPercent val="0"/>
          <c:showBubbleSize val="0"/>
        </c:dLbls>
        <c:gapWidth val="75"/>
        <c:shape val="box"/>
        <c:axId val="534680072"/>
        <c:axId val="1"/>
        <c:axId val="0"/>
      </c:bar3DChart>
      <c:catAx>
        <c:axId val="534680072"/>
        <c:scaling>
          <c:orientation val="minMax"/>
        </c:scaling>
        <c:delete val="0"/>
        <c:axPos val="b"/>
        <c:numFmt formatCode="0" sourceLinked="1"/>
        <c:majorTickMark val="none"/>
        <c:minorTickMark val="none"/>
        <c:tickLblPos val="nextTo"/>
        <c:txPr>
          <a:bodyPr/>
          <a:lstStyle/>
          <a:p>
            <a:pPr>
              <a:defRPr sz="800"/>
            </a:pPr>
            <a:endParaRPr lang="lv-LV"/>
          </a:p>
        </c:txPr>
        <c:crossAx val="1"/>
        <c:crosses val="autoZero"/>
        <c:auto val="1"/>
        <c:lblAlgn val="ctr"/>
        <c:lblOffset val="100"/>
        <c:noMultiLvlLbl val="0"/>
      </c:catAx>
      <c:valAx>
        <c:axId val="1"/>
        <c:scaling>
          <c:orientation val="minMax"/>
        </c:scaling>
        <c:delete val="0"/>
        <c:axPos val="l"/>
        <c:majorGridlines/>
        <c:numFmt formatCode="0%" sourceLinked="1"/>
        <c:majorTickMark val="none"/>
        <c:minorTickMark val="none"/>
        <c:tickLblPos val="nextTo"/>
        <c:spPr>
          <a:ln w="9525">
            <a:noFill/>
          </a:ln>
        </c:spPr>
        <c:crossAx val="534680072"/>
        <c:crosses val="autoZero"/>
        <c:crossBetween val="between"/>
      </c:valAx>
      <c:spPr>
        <a:noFill/>
        <a:ln w="25400">
          <a:noFill/>
        </a:ln>
      </c:spPr>
    </c:plotArea>
    <c:legend>
      <c:legendPos val="b"/>
      <c:layout/>
      <c:overlay val="0"/>
    </c:legend>
    <c:plotVisOnly val="1"/>
    <c:dispBlanksAs val="gap"/>
    <c:showDLblsOverMax val="0"/>
  </c:chart>
  <c:txPr>
    <a:bodyPr/>
    <a:lstStyle/>
    <a:p>
      <a:pPr>
        <a:defRPr sz="1000">
          <a:latin typeface="Times New Roman" panose="02020603050405020304" pitchFamily="18" charset="0"/>
          <a:cs typeface="Times New Roman" panose="02020603050405020304" pitchFamily="18" charset="0"/>
        </a:defRPr>
      </a:pPr>
      <a:endParaRPr lang="lv-LV"/>
    </a:p>
  </c:txPr>
  <c:externalData r:id="rId1">
    <c:autoUpdate val="0"/>
  </c:externalData>
</c:chartSpace>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6FBEA-3F37-4CDC-BD08-ADF851EFF86C}">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8</TotalTime>
  <Pages>9</Pages>
  <Words>14417</Words>
  <Characters>8218</Characters>
  <Application>Microsoft Office Word</Application>
  <DocSecurity>0</DocSecurity>
  <Lines>68</Lines>
  <Paragraphs>45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Gunta Silava</dc:creator>
  <cp:lastModifiedBy>Lita Cjaputa</cp:lastModifiedBy>
  <cp:revision>6</cp:revision>
  <cp:lastPrinted>2025-01-23T14:17:00Z</cp:lastPrinted>
  <dcterms:created xsi:type="dcterms:W3CDTF">2026-03-30T10:07:00Z</dcterms:created>
  <dcterms:modified xsi:type="dcterms:W3CDTF">2026-03-30T11:03:00Z</dcterms:modified>
</cp:coreProperties>
</file>